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margin" w:tblpXSpec="center" w:tblpY="710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Tr="001F70B4">
        <w:trPr>
          <w:trHeight w:val="1695"/>
        </w:trPr>
        <w:tc>
          <w:tcPr>
            <w:tcW w:w="2331" w:type="pct"/>
          </w:tcPr>
          <w:p w:rsidR="00EE23CC" w:rsidRDefault="00EE23CC" w:rsidP="00EE23CC">
            <w:r>
              <w:rPr>
                <w:noProof/>
                <w:lang w:eastAsia="en-GB"/>
              </w:rPr>
              <w:drawing>
                <wp:inline distT="0" distB="0" distL="0" distR="0" wp14:anchorId="5AE78C4E" wp14:editId="7FFE724F">
                  <wp:extent cx="2588260" cy="611505"/>
                  <wp:effectExtent l="19050" t="19050" r="21590" b="171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260" cy="6115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Default="00EE23CC" w:rsidP="00EE23CC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Tr="001F70B4">
        <w:trPr>
          <w:trHeight w:val="1304"/>
        </w:trPr>
        <w:tc>
          <w:tcPr>
            <w:tcW w:w="12796" w:type="dxa"/>
            <w:vAlign w:val="bottom"/>
          </w:tcPr>
          <w:p w:rsidR="00EE23CC" w:rsidRDefault="001F70B4" w:rsidP="001F70B4">
            <w:r>
              <w:rPr>
                <w:noProof/>
                <w:lang w:eastAsia="en-GB"/>
              </w:rPr>
              <w:drawing>
                <wp:inline distT="0" distB="0" distL="0" distR="0" wp14:anchorId="5F744911" wp14:editId="0B24017F">
                  <wp:extent cx="7562850" cy="9239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6B77" w:rsidRPr="009567A6" w:rsidRDefault="002813EC" w:rsidP="00365B91">
      <w:pPr>
        <w:pStyle w:val="newsTitle"/>
        <w:rPr>
          <w:b/>
        </w:rPr>
      </w:pPr>
      <w:r w:rsidRPr="009567A6">
        <w:t xml:space="preserve">2014 emcdda scientific paper award </w:t>
      </w:r>
      <w:r w:rsidR="009567A6" w:rsidRPr="009567A6">
        <w:t>— LISBON</w:t>
      </w:r>
    </w:p>
    <w:p w:rsidR="00A16B77" w:rsidRPr="009567A6" w:rsidRDefault="002813EC" w:rsidP="009567A6">
      <w:pPr>
        <w:pStyle w:val="newsSubTitle"/>
      </w:pPr>
      <w:r w:rsidRPr="009567A6">
        <w:t>A</w:t>
      </w:r>
      <w:r w:rsidR="009567A6" w:rsidRPr="009567A6">
        <w:t>nnual a</w:t>
      </w:r>
      <w:r w:rsidRPr="009567A6">
        <w:t xml:space="preserve">ward ceremony </w:t>
      </w:r>
      <w:r w:rsidR="007F0BD0" w:rsidRPr="009567A6">
        <w:t xml:space="preserve">to </w:t>
      </w:r>
      <w:r w:rsidRPr="009567A6">
        <w:t xml:space="preserve">celebrate excellence in scientific writing on </w:t>
      </w:r>
      <w:r w:rsidR="009567A6">
        <w:t xml:space="preserve">illicit </w:t>
      </w:r>
      <w:r w:rsidRPr="009567A6">
        <w:t>drugs</w:t>
      </w:r>
    </w:p>
    <w:p w:rsidR="007F0BD0" w:rsidRPr="0025435E" w:rsidRDefault="007F0BD0" w:rsidP="00985C28">
      <w:pPr>
        <w:pStyle w:val="newsContent"/>
      </w:pPr>
      <w:r w:rsidRPr="0025435E">
        <w:t>(24</w:t>
      </w:r>
      <w:r w:rsidR="002813EC" w:rsidRPr="0025435E">
        <w:t xml:space="preserve">.11.2014, LISBON) </w:t>
      </w:r>
      <w:r w:rsidRPr="0025435E">
        <w:rPr>
          <w:lang w:val="en"/>
        </w:rPr>
        <w:t xml:space="preserve">The four winners of the </w:t>
      </w:r>
      <w:r w:rsidRPr="0025435E">
        <w:rPr>
          <w:b/>
          <w:lang w:val="en"/>
        </w:rPr>
        <w:t>2014 EMCDDA scientific paper award</w:t>
      </w:r>
      <w:r w:rsidRPr="0025435E">
        <w:rPr>
          <w:lang w:val="en"/>
        </w:rPr>
        <w:t xml:space="preserve"> </w:t>
      </w:r>
      <w:r w:rsidRPr="0025435E">
        <w:t xml:space="preserve">will be honoured in Lisbon on 25 November at the fourth annual award ceremony hosted by the </w:t>
      </w:r>
      <w:r w:rsidRPr="0025435E">
        <w:rPr>
          <w:b/>
        </w:rPr>
        <w:t xml:space="preserve">EU </w:t>
      </w:r>
      <w:r w:rsidRPr="0025435E">
        <w:rPr>
          <w:b/>
          <w:bCs/>
          <w:lang w:val="en"/>
        </w:rPr>
        <w:t xml:space="preserve">agency </w:t>
      </w:r>
      <w:r w:rsidRPr="0025435E">
        <w:t>(</w:t>
      </w:r>
      <w:r w:rsidRPr="0025435E">
        <w:rPr>
          <w:vertAlign w:val="superscript"/>
        </w:rPr>
        <w:t>1</w:t>
      </w:r>
      <w:r w:rsidRPr="0025435E">
        <w:t xml:space="preserve">). The winners will </w:t>
      </w:r>
      <w:r w:rsidRPr="0025435E">
        <w:rPr>
          <w:rFonts w:cs="Arial"/>
          <w:lang w:val="en"/>
        </w:rPr>
        <w:t>receive a non-monetary prize</w:t>
      </w:r>
      <w:r w:rsidRPr="0025435E">
        <w:t xml:space="preserve"> for their contributions in the margins of the third</w:t>
      </w:r>
      <w:r w:rsidRPr="0025435E">
        <w:rPr>
          <w:b/>
        </w:rPr>
        <w:t xml:space="preserve"> </w:t>
      </w:r>
      <w:r w:rsidRPr="0025435E">
        <w:t>‘Reitox week’ initiative</w:t>
      </w:r>
      <w:r w:rsidR="00323540">
        <w:t>,</w:t>
      </w:r>
      <w:r w:rsidRPr="0025435E">
        <w:t xml:space="preserve"> which gathers representatives from around 40 national drug monitoring centres (</w:t>
      </w:r>
      <w:r w:rsidRPr="0025435E">
        <w:rPr>
          <w:vertAlign w:val="superscript"/>
        </w:rPr>
        <w:t>2</w:t>
      </w:r>
      <w:r w:rsidRPr="0025435E">
        <w:t xml:space="preserve">). </w:t>
      </w:r>
    </w:p>
    <w:p w:rsidR="006404BC" w:rsidRDefault="007F0BD0" w:rsidP="00985C28">
      <w:pPr>
        <w:pStyle w:val="newsContent"/>
      </w:pPr>
      <w:r w:rsidRPr="0025435E">
        <w:t xml:space="preserve">The prize, inaugurated in 2011 by the </w:t>
      </w:r>
      <w:r w:rsidRPr="0025435E">
        <w:rPr>
          <w:b/>
        </w:rPr>
        <w:t>EMCDDA</w:t>
      </w:r>
      <w:r w:rsidRPr="0025435E">
        <w:t xml:space="preserve"> and its </w:t>
      </w:r>
      <w:r w:rsidRPr="0025435E">
        <w:rPr>
          <w:b/>
        </w:rPr>
        <w:t>Scientific Committee</w:t>
      </w:r>
      <w:r w:rsidRPr="0025435E">
        <w:t xml:space="preserve">, celebrates scientific writing and distinguishes high-quality research in the field of illicit drugs. This year, a record </w:t>
      </w:r>
      <w:r w:rsidR="00846A62" w:rsidRPr="00323540">
        <w:t>64</w:t>
      </w:r>
      <w:r w:rsidR="00846A62">
        <w:t xml:space="preserve"> </w:t>
      </w:r>
      <w:r w:rsidR="006404BC">
        <w:t>papers</w:t>
      </w:r>
      <w:r w:rsidRPr="0025435E">
        <w:t xml:space="preserve"> </w:t>
      </w:r>
      <w:r w:rsidR="00323540">
        <w:t xml:space="preserve">         </w:t>
      </w:r>
      <w:r w:rsidR="006404BC">
        <w:t>were</w:t>
      </w:r>
      <w:r w:rsidRPr="0025435E">
        <w:t xml:space="preserve"> nominated by members of the Scientific Committee, the Reitox national focal points, </w:t>
      </w:r>
      <w:r w:rsidR="0025435E" w:rsidRPr="0025435E">
        <w:t xml:space="preserve">European drug research peer-reviewed journals </w:t>
      </w:r>
      <w:r w:rsidRPr="0025435E">
        <w:t xml:space="preserve">and by </w:t>
      </w:r>
      <w:r w:rsidRPr="00323540">
        <w:rPr>
          <w:b/>
        </w:rPr>
        <w:t>EMCDDA</w:t>
      </w:r>
      <w:r w:rsidRPr="0025435E">
        <w:t xml:space="preserve"> staff. </w:t>
      </w:r>
      <w:r w:rsidR="006404BC">
        <w:t>The jury was composed of</w:t>
      </w:r>
      <w:r w:rsidR="006404BC" w:rsidRPr="0025435E">
        <w:t xml:space="preserve"> </w:t>
      </w:r>
      <w:r w:rsidR="006404BC" w:rsidRPr="00685DB5">
        <w:t xml:space="preserve">members of the </w:t>
      </w:r>
      <w:r w:rsidR="006404BC" w:rsidRPr="00900444">
        <w:rPr>
          <w:b/>
        </w:rPr>
        <w:t>Scientific Committee</w:t>
      </w:r>
      <w:r w:rsidR="006404BC">
        <w:t xml:space="preserve">, </w:t>
      </w:r>
      <w:r w:rsidR="009945F4">
        <w:t xml:space="preserve">the </w:t>
      </w:r>
      <w:r w:rsidR="009945F4" w:rsidRPr="008F21D9">
        <w:rPr>
          <w:b/>
        </w:rPr>
        <w:t>International Society of Addiction Journal Editors (ISAJE</w:t>
      </w:r>
      <w:r w:rsidR="009945F4" w:rsidRPr="00340F2F">
        <w:t>)</w:t>
      </w:r>
      <w:r w:rsidR="00340F2F" w:rsidRPr="00340F2F">
        <w:t xml:space="preserve">, other </w:t>
      </w:r>
      <w:r w:rsidR="00340F2F" w:rsidRPr="00353341">
        <w:rPr>
          <w:b/>
        </w:rPr>
        <w:t>acknowledged scientists in the</w:t>
      </w:r>
      <w:r w:rsidR="00323540" w:rsidRPr="00353341">
        <w:rPr>
          <w:b/>
        </w:rPr>
        <w:t xml:space="preserve"> drugs</w:t>
      </w:r>
      <w:r w:rsidR="00340F2F" w:rsidRPr="00353341">
        <w:rPr>
          <w:b/>
        </w:rPr>
        <w:t xml:space="preserve"> field</w:t>
      </w:r>
      <w:r w:rsidR="009945F4">
        <w:t xml:space="preserve"> </w:t>
      </w:r>
      <w:r w:rsidR="006404BC" w:rsidRPr="00685DB5">
        <w:t>and</w:t>
      </w:r>
      <w:r w:rsidR="00323540">
        <w:t xml:space="preserve"> </w:t>
      </w:r>
      <w:r w:rsidR="00323540" w:rsidRPr="0025435E">
        <w:rPr>
          <w:b/>
        </w:rPr>
        <w:t>EMCDDA</w:t>
      </w:r>
      <w:r w:rsidR="006404BC" w:rsidRPr="00685DB5">
        <w:t xml:space="preserve"> </w:t>
      </w:r>
      <w:r w:rsidR="006404BC" w:rsidRPr="00900444">
        <w:rPr>
          <w:b/>
        </w:rPr>
        <w:t>senior scientific staff</w:t>
      </w:r>
      <w:r w:rsidR="006404BC" w:rsidRPr="00685DB5">
        <w:t>.</w:t>
      </w:r>
    </w:p>
    <w:p w:rsidR="0025435E" w:rsidRDefault="006404BC" w:rsidP="00985C28">
      <w:pPr>
        <w:pStyle w:val="newsContent"/>
      </w:pPr>
      <w:r w:rsidRPr="00323540">
        <w:t xml:space="preserve">According to the entry criteria, all articles </w:t>
      </w:r>
      <w:r w:rsidR="00323540">
        <w:t>were</w:t>
      </w:r>
      <w:r w:rsidRPr="00323540">
        <w:t xml:space="preserve"> published in peer-reviewed scientific journals in 2013, with the primary author </w:t>
      </w:r>
      <w:r w:rsidR="00340F2F" w:rsidRPr="00323540">
        <w:t xml:space="preserve">being </w:t>
      </w:r>
      <w:r w:rsidR="00323540" w:rsidRPr="00323540">
        <w:t>based in</w:t>
      </w:r>
      <w:r w:rsidR="00323540">
        <w:t>, or a national of,</w:t>
      </w:r>
      <w:r w:rsidR="00323540" w:rsidRPr="00323540">
        <w:t xml:space="preserve"> an </w:t>
      </w:r>
      <w:r w:rsidR="00323540" w:rsidRPr="00323540">
        <w:rPr>
          <w:b/>
        </w:rPr>
        <w:t>EU Member State</w:t>
      </w:r>
      <w:r w:rsidR="00323540" w:rsidRPr="00323540">
        <w:t xml:space="preserve">, </w:t>
      </w:r>
      <w:r w:rsidR="00323540" w:rsidRPr="00323540">
        <w:rPr>
          <w:b/>
        </w:rPr>
        <w:t>Turkey</w:t>
      </w:r>
      <w:r w:rsidR="00323540" w:rsidRPr="00323540">
        <w:t xml:space="preserve"> or </w:t>
      </w:r>
      <w:r w:rsidR="00323540" w:rsidRPr="00323540">
        <w:rPr>
          <w:b/>
        </w:rPr>
        <w:t>Norway</w:t>
      </w:r>
      <w:r w:rsidR="00323540" w:rsidRPr="00323540">
        <w:t>.</w:t>
      </w:r>
      <w:r w:rsidR="00323540">
        <w:t xml:space="preserve"> </w:t>
      </w:r>
      <w:r>
        <w:rPr>
          <w:rFonts w:cs="Arial"/>
        </w:rPr>
        <w:t xml:space="preserve">Papers could be submitted in the following categories: basic </w:t>
      </w:r>
      <w:r w:rsidRPr="001758CD">
        <w:t xml:space="preserve">biological, neurobiological and behavioural research; population-based </w:t>
      </w:r>
      <w:r>
        <w:t>research and clinical epidemiology</w:t>
      </w:r>
      <w:r w:rsidRPr="001758CD">
        <w:t xml:space="preserve">; demand </w:t>
      </w:r>
      <w:r>
        <w:t>reduction; drug policy; and supply, supply reduction and crime research</w:t>
      </w:r>
      <w:r w:rsidRPr="001758CD">
        <w:t>.</w:t>
      </w:r>
      <w:r>
        <w:t xml:space="preserve"> </w:t>
      </w:r>
      <w:r w:rsidR="0025435E">
        <w:t>T</w:t>
      </w:r>
      <w:r w:rsidR="0025435E" w:rsidRPr="009E2F68">
        <w:rPr>
          <w:rFonts w:cs="Arial"/>
        </w:rPr>
        <w:t>he</w:t>
      </w:r>
      <w:r w:rsidR="0025435E">
        <w:rPr>
          <w:rFonts w:cs="Arial"/>
        </w:rPr>
        <w:t xml:space="preserve"> 2014 winners (primary authors) are: </w:t>
      </w:r>
      <w:r w:rsidR="0025435E" w:rsidRPr="009E2F68">
        <w:rPr>
          <w:rFonts w:cs="Arial"/>
        </w:rPr>
        <w:t xml:space="preserve"> </w:t>
      </w:r>
      <w:r w:rsidR="0025435E">
        <w:t xml:space="preserve"> </w:t>
      </w:r>
    </w:p>
    <w:p w:rsidR="00FF5A3F" w:rsidRPr="00183A6A" w:rsidRDefault="00FF5A3F" w:rsidP="00FF5A3F">
      <w:pPr>
        <w:pStyle w:val="newsContent"/>
        <w:numPr>
          <w:ilvl w:val="0"/>
          <w:numId w:val="9"/>
        </w:numPr>
        <w:spacing w:after="120"/>
        <w:ind w:left="284" w:right="-285" w:hanging="284"/>
        <w:rPr>
          <w:rFonts w:cs="Arial"/>
          <w:bCs/>
          <w:kern w:val="36"/>
          <w:sz w:val="19"/>
          <w:szCs w:val="19"/>
          <w:lang w:eastAsia="en-GB"/>
        </w:rPr>
      </w:pPr>
      <w:r w:rsidRPr="00183A6A">
        <w:rPr>
          <w:sz w:val="19"/>
          <w:szCs w:val="19"/>
          <w:lang w:eastAsia="en-GB"/>
        </w:rPr>
        <w:t>‘Amphetamine actions at the serotonin transporter rely on the availability of phosphatidylinositol-4</w:t>
      </w:r>
      <w:proofErr w:type="gramStart"/>
      <w:r w:rsidRPr="00183A6A">
        <w:rPr>
          <w:sz w:val="19"/>
          <w:szCs w:val="19"/>
          <w:lang w:eastAsia="en-GB"/>
        </w:rPr>
        <w:t>,5</w:t>
      </w:r>
      <w:proofErr w:type="gramEnd"/>
      <w:r w:rsidRPr="00183A6A">
        <w:rPr>
          <w:sz w:val="19"/>
          <w:szCs w:val="19"/>
          <w:lang w:eastAsia="en-GB"/>
        </w:rPr>
        <w:t xml:space="preserve">-bisphosphate’ (2013), primary author </w:t>
      </w:r>
      <w:r w:rsidRPr="00183A6A">
        <w:rPr>
          <w:b/>
          <w:sz w:val="19"/>
          <w:szCs w:val="19"/>
          <w:lang w:eastAsia="en-GB"/>
        </w:rPr>
        <w:t>Dr</w:t>
      </w:r>
      <w:r w:rsidRPr="00183A6A">
        <w:rPr>
          <w:sz w:val="19"/>
          <w:szCs w:val="19"/>
          <w:lang w:eastAsia="en-GB"/>
        </w:rPr>
        <w:t xml:space="preserve"> </w:t>
      </w:r>
      <w:r w:rsidRPr="00183A6A">
        <w:rPr>
          <w:b/>
          <w:sz w:val="19"/>
          <w:szCs w:val="19"/>
        </w:rPr>
        <w:t xml:space="preserve">Florian Buchmayer </w:t>
      </w:r>
      <w:r w:rsidRPr="00183A6A">
        <w:rPr>
          <w:sz w:val="19"/>
          <w:szCs w:val="19"/>
        </w:rPr>
        <w:t>(Austria, represented at the event by co-author Prof. Harald H. Sitte). Published in</w:t>
      </w:r>
      <w:r w:rsidRPr="00183A6A">
        <w:rPr>
          <w:i/>
          <w:sz w:val="19"/>
          <w:szCs w:val="19"/>
          <w:lang w:eastAsia="en-GB"/>
        </w:rPr>
        <w:t xml:space="preserve"> Proceedings of the National Academy of Sciences of the United States of America</w:t>
      </w:r>
      <w:r w:rsidRPr="00183A6A">
        <w:rPr>
          <w:sz w:val="19"/>
          <w:szCs w:val="19"/>
          <w:lang w:eastAsia="en-GB"/>
        </w:rPr>
        <w:t>, 110, 28, p.</w:t>
      </w:r>
      <w:r w:rsidR="000D406E">
        <w:rPr>
          <w:sz w:val="19"/>
          <w:szCs w:val="19"/>
          <w:lang w:eastAsia="en-GB"/>
        </w:rPr>
        <w:t xml:space="preserve"> </w:t>
      </w:r>
      <w:bookmarkStart w:id="0" w:name="_GoBack"/>
      <w:bookmarkEnd w:id="0"/>
      <w:r w:rsidRPr="00183A6A">
        <w:rPr>
          <w:sz w:val="19"/>
          <w:szCs w:val="19"/>
          <w:lang w:eastAsia="en-GB"/>
        </w:rPr>
        <w:t>11642–47.</w:t>
      </w:r>
      <w:r w:rsidRPr="00183A6A">
        <w:rPr>
          <w:sz w:val="19"/>
          <w:szCs w:val="19"/>
        </w:rPr>
        <w:t xml:space="preserve"> </w:t>
      </w:r>
    </w:p>
    <w:p w:rsidR="00054FA6" w:rsidRPr="00183A6A" w:rsidRDefault="006066EB" w:rsidP="00FF5A3F">
      <w:pPr>
        <w:pStyle w:val="newsContent"/>
        <w:numPr>
          <w:ilvl w:val="0"/>
          <w:numId w:val="9"/>
        </w:numPr>
        <w:spacing w:after="120"/>
        <w:ind w:left="284" w:right="-285" w:hanging="284"/>
        <w:rPr>
          <w:sz w:val="19"/>
          <w:szCs w:val="19"/>
          <w:lang w:eastAsia="en-GB"/>
        </w:rPr>
      </w:pPr>
      <w:r w:rsidRPr="00183A6A">
        <w:rPr>
          <w:sz w:val="19"/>
          <w:szCs w:val="19"/>
          <w:lang w:eastAsia="en-GB"/>
        </w:rPr>
        <w:t xml:space="preserve">‘Substance use disorders in adolescents with attention deficit hyperactivity disorder: a 4-year follow-up study’ (2013), primary author </w:t>
      </w:r>
      <w:r w:rsidRPr="00183A6A">
        <w:rPr>
          <w:b/>
          <w:sz w:val="19"/>
          <w:szCs w:val="19"/>
        </w:rPr>
        <w:t>Annabeth Groenman</w:t>
      </w:r>
      <w:r w:rsidR="00FF5A3F" w:rsidRPr="00183A6A">
        <w:rPr>
          <w:b/>
          <w:sz w:val="19"/>
          <w:szCs w:val="19"/>
        </w:rPr>
        <w:t>, MSc</w:t>
      </w:r>
      <w:r w:rsidRPr="00183A6A">
        <w:rPr>
          <w:sz w:val="19"/>
          <w:szCs w:val="19"/>
        </w:rPr>
        <w:t xml:space="preserve"> (Netherlands).</w:t>
      </w:r>
      <w:r w:rsidRPr="00183A6A">
        <w:rPr>
          <w:sz w:val="19"/>
          <w:szCs w:val="19"/>
          <w:lang w:eastAsia="zh-CN"/>
        </w:rPr>
        <w:t xml:space="preserve"> Published in </w:t>
      </w:r>
      <w:r w:rsidRPr="00183A6A">
        <w:rPr>
          <w:i/>
          <w:sz w:val="19"/>
          <w:szCs w:val="19"/>
          <w:lang w:eastAsia="en-GB"/>
        </w:rPr>
        <w:t xml:space="preserve">Addiction, </w:t>
      </w:r>
      <w:r w:rsidRPr="00183A6A">
        <w:rPr>
          <w:sz w:val="19"/>
          <w:szCs w:val="19"/>
          <w:lang w:eastAsia="en-GB"/>
        </w:rPr>
        <w:t>108, 8, p.</w:t>
      </w:r>
      <w:r w:rsidR="000D406E">
        <w:rPr>
          <w:sz w:val="19"/>
          <w:szCs w:val="19"/>
          <w:lang w:eastAsia="en-GB"/>
        </w:rPr>
        <w:t xml:space="preserve"> </w:t>
      </w:r>
      <w:r w:rsidRPr="00183A6A">
        <w:rPr>
          <w:sz w:val="19"/>
          <w:szCs w:val="19"/>
          <w:lang w:eastAsia="en-GB"/>
        </w:rPr>
        <w:t>1503–11</w:t>
      </w:r>
      <w:r w:rsidR="00D4067C" w:rsidRPr="00183A6A">
        <w:rPr>
          <w:sz w:val="19"/>
          <w:szCs w:val="19"/>
          <w:lang w:eastAsia="en-GB"/>
        </w:rPr>
        <w:t>.</w:t>
      </w:r>
      <w:r w:rsidRPr="00183A6A">
        <w:rPr>
          <w:sz w:val="19"/>
          <w:szCs w:val="19"/>
          <w:lang w:eastAsia="en-GB"/>
        </w:rPr>
        <w:t xml:space="preserve"> </w:t>
      </w:r>
    </w:p>
    <w:p w:rsidR="00FF5A3F" w:rsidRPr="00183A6A" w:rsidRDefault="00FF5A3F" w:rsidP="00FF5A3F">
      <w:pPr>
        <w:pStyle w:val="newsContent"/>
        <w:numPr>
          <w:ilvl w:val="0"/>
          <w:numId w:val="9"/>
        </w:numPr>
        <w:spacing w:after="120"/>
        <w:ind w:left="284" w:right="-285" w:hanging="284"/>
        <w:rPr>
          <w:rFonts w:cs="Arial"/>
          <w:b/>
          <w:szCs w:val="20"/>
        </w:rPr>
      </w:pPr>
      <w:r w:rsidRPr="00183A6A">
        <w:rPr>
          <w:sz w:val="19"/>
          <w:szCs w:val="19"/>
          <w:lang w:eastAsia="en-GB"/>
        </w:rPr>
        <w:t xml:space="preserve">‘Defining substance use disorders: do we really need more than heavy use?’ (2013), </w:t>
      </w:r>
      <w:r w:rsidRPr="00183A6A">
        <w:rPr>
          <w:rFonts w:cs="Arial"/>
          <w:sz w:val="19"/>
          <w:szCs w:val="19"/>
          <w:lang w:eastAsia="en-GB"/>
        </w:rPr>
        <w:t>primary author</w:t>
      </w:r>
      <w:r w:rsidRPr="00183A6A">
        <w:rPr>
          <w:sz w:val="19"/>
          <w:szCs w:val="19"/>
        </w:rPr>
        <w:t xml:space="preserve">                    </w:t>
      </w:r>
      <w:r w:rsidRPr="00183A6A">
        <w:rPr>
          <w:b/>
          <w:sz w:val="19"/>
          <w:szCs w:val="19"/>
        </w:rPr>
        <w:t>Prof. Jürgen Rehm, PhD</w:t>
      </w:r>
      <w:r w:rsidRPr="00183A6A">
        <w:rPr>
          <w:sz w:val="19"/>
          <w:szCs w:val="19"/>
        </w:rPr>
        <w:t xml:space="preserve"> (Germany). Published in </w:t>
      </w:r>
      <w:r w:rsidRPr="00183A6A">
        <w:rPr>
          <w:i/>
          <w:sz w:val="19"/>
          <w:szCs w:val="19"/>
          <w:lang w:eastAsia="en-GB"/>
        </w:rPr>
        <w:t xml:space="preserve">Alcohol and Alcoholism, </w:t>
      </w:r>
      <w:r w:rsidRPr="00183A6A">
        <w:rPr>
          <w:sz w:val="19"/>
          <w:szCs w:val="19"/>
          <w:lang w:eastAsia="en-GB"/>
        </w:rPr>
        <w:t>48, 6, p.</w:t>
      </w:r>
      <w:r w:rsidR="000D406E">
        <w:rPr>
          <w:sz w:val="19"/>
          <w:szCs w:val="19"/>
          <w:lang w:eastAsia="en-GB"/>
        </w:rPr>
        <w:t xml:space="preserve"> </w:t>
      </w:r>
      <w:r w:rsidRPr="00183A6A">
        <w:rPr>
          <w:sz w:val="19"/>
          <w:szCs w:val="19"/>
          <w:lang w:eastAsia="en-GB"/>
        </w:rPr>
        <w:t xml:space="preserve">633–64. </w:t>
      </w:r>
    </w:p>
    <w:p w:rsidR="00054FA6" w:rsidRPr="00183A6A" w:rsidRDefault="006066EB" w:rsidP="00D4067C">
      <w:pPr>
        <w:pStyle w:val="newsContent"/>
        <w:numPr>
          <w:ilvl w:val="0"/>
          <w:numId w:val="9"/>
        </w:numPr>
        <w:spacing w:after="120"/>
        <w:ind w:left="284" w:right="-285" w:hanging="284"/>
        <w:rPr>
          <w:bCs/>
          <w:kern w:val="36"/>
          <w:sz w:val="19"/>
          <w:szCs w:val="19"/>
          <w:lang w:eastAsia="en-GB"/>
        </w:rPr>
      </w:pPr>
      <w:r w:rsidRPr="00183A6A">
        <w:rPr>
          <w:sz w:val="19"/>
          <w:szCs w:val="19"/>
          <w:lang w:eastAsia="en-GB"/>
        </w:rPr>
        <w:t xml:space="preserve">‘Building a European consensus on minimum quality standards for drug treatment, rehabilitation and harm reduction’ (2013), primary author </w:t>
      </w:r>
      <w:r w:rsidR="00FF5A3F" w:rsidRPr="00183A6A">
        <w:rPr>
          <w:b/>
          <w:sz w:val="19"/>
          <w:szCs w:val="19"/>
          <w:lang w:eastAsia="en-GB"/>
        </w:rPr>
        <w:t>PD Dr</w:t>
      </w:r>
      <w:r w:rsidR="00FF5A3F" w:rsidRPr="00183A6A">
        <w:rPr>
          <w:sz w:val="19"/>
          <w:szCs w:val="19"/>
          <w:lang w:eastAsia="en-GB"/>
        </w:rPr>
        <w:t xml:space="preserve"> </w:t>
      </w:r>
      <w:r w:rsidRPr="00183A6A">
        <w:rPr>
          <w:b/>
          <w:sz w:val="19"/>
          <w:szCs w:val="19"/>
        </w:rPr>
        <w:t>Michael P. Schaub</w:t>
      </w:r>
      <w:r w:rsidR="00054FA6" w:rsidRPr="00183A6A">
        <w:rPr>
          <w:b/>
          <w:sz w:val="19"/>
          <w:szCs w:val="19"/>
        </w:rPr>
        <w:t xml:space="preserve"> </w:t>
      </w:r>
      <w:r w:rsidR="00054FA6" w:rsidRPr="00183A6A">
        <w:rPr>
          <w:sz w:val="19"/>
          <w:szCs w:val="19"/>
        </w:rPr>
        <w:t xml:space="preserve">(for a paper written in the framework </w:t>
      </w:r>
      <w:r w:rsidR="00383DF7" w:rsidRPr="00183A6A">
        <w:rPr>
          <w:sz w:val="19"/>
          <w:szCs w:val="19"/>
        </w:rPr>
        <w:t xml:space="preserve">of </w:t>
      </w:r>
      <w:r w:rsidR="00054FA6" w:rsidRPr="00183A6A">
        <w:rPr>
          <w:sz w:val="19"/>
          <w:szCs w:val="19"/>
        </w:rPr>
        <w:t>EQUS, an EC-funded project</w:t>
      </w:r>
      <w:proofErr w:type="gramStart"/>
      <w:r w:rsidR="00054FA6" w:rsidRPr="00183A6A">
        <w:rPr>
          <w:sz w:val="19"/>
          <w:szCs w:val="19"/>
        </w:rPr>
        <w:t>)</w:t>
      </w:r>
      <w:r w:rsidR="00C314D1" w:rsidRPr="00183A6A">
        <w:rPr>
          <w:rFonts w:cs="Arial"/>
          <w:sz w:val="19"/>
          <w:szCs w:val="19"/>
        </w:rPr>
        <w:t>(</w:t>
      </w:r>
      <w:proofErr w:type="gramEnd"/>
      <w:r w:rsidR="00C314D1" w:rsidRPr="00183A6A">
        <w:rPr>
          <w:rFonts w:cs="Arial"/>
          <w:sz w:val="19"/>
          <w:szCs w:val="19"/>
          <w:vertAlign w:val="superscript"/>
        </w:rPr>
        <w:t>3</w:t>
      </w:r>
      <w:r w:rsidR="00C314D1" w:rsidRPr="00183A6A">
        <w:rPr>
          <w:rFonts w:cs="Arial"/>
          <w:sz w:val="19"/>
          <w:szCs w:val="19"/>
        </w:rPr>
        <w:t>)</w:t>
      </w:r>
      <w:r w:rsidR="00054FA6" w:rsidRPr="00183A6A">
        <w:rPr>
          <w:sz w:val="19"/>
          <w:szCs w:val="19"/>
        </w:rPr>
        <w:t>. Published in</w:t>
      </w:r>
      <w:r w:rsidR="00054FA6" w:rsidRPr="00183A6A">
        <w:rPr>
          <w:b/>
          <w:sz w:val="19"/>
          <w:szCs w:val="19"/>
        </w:rPr>
        <w:t xml:space="preserve"> </w:t>
      </w:r>
      <w:r w:rsidR="00054FA6" w:rsidRPr="00183A6A">
        <w:rPr>
          <w:i/>
          <w:sz w:val="19"/>
          <w:szCs w:val="19"/>
          <w:lang w:eastAsia="en-GB"/>
        </w:rPr>
        <w:t>European Addiction Research</w:t>
      </w:r>
      <w:r w:rsidR="00054FA6" w:rsidRPr="00183A6A">
        <w:rPr>
          <w:sz w:val="19"/>
          <w:szCs w:val="19"/>
          <w:lang w:eastAsia="en-GB"/>
        </w:rPr>
        <w:t>, 19, 6, p.</w:t>
      </w:r>
      <w:r w:rsidR="00383DF7" w:rsidRPr="00183A6A">
        <w:rPr>
          <w:sz w:val="19"/>
          <w:szCs w:val="19"/>
          <w:lang w:eastAsia="en-GB"/>
        </w:rPr>
        <w:t xml:space="preserve"> </w:t>
      </w:r>
      <w:r w:rsidR="00D4067C" w:rsidRPr="00183A6A">
        <w:rPr>
          <w:sz w:val="19"/>
          <w:szCs w:val="19"/>
          <w:lang w:eastAsia="en-GB"/>
        </w:rPr>
        <w:t>314–24.</w:t>
      </w:r>
    </w:p>
    <w:p w:rsidR="00D4067C" w:rsidRPr="00183A6A" w:rsidRDefault="00FF5A3F" w:rsidP="00D4067C">
      <w:pPr>
        <w:pStyle w:val="newsContent"/>
        <w:spacing w:after="0"/>
        <w:ind w:left="284" w:right="-284"/>
        <w:rPr>
          <w:rFonts w:cs="Arial"/>
          <w:b/>
          <w:szCs w:val="20"/>
        </w:rPr>
      </w:pPr>
      <w:r w:rsidRPr="00183A6A" w:rsidDel="00FF5A3F">
        <w:rPr>
          <w:sz w:val="19"/>
          <w:szCs w:val="19"/>
          <w:lang w:eastAsia="en-GB"/>
        </w:rPr>
        <w:t xml:space="preserve"> </w:t>
      </w:r>
    </w:p>
    <w:p w:rsidR="0090401B" w:rsidRDefault="00054FA6" w:rsidP="00D4067C">
      <w:pPr>
        <w:pStyle w:val="newsContent"/>
      </w:pPr>
      <w:r w:rsidRPr="00183A6A">
        <w:rPr>
          <w:rFonts w:cs="Arial"/>
          <w:b/>
          <w:szCs w:val="20"/>
        </w:rPr>
        <w:t xml:space="preserve">Chair of the EMCDDA Scientific Committee </w:t>
      </w:r>
      <w:r w:rsidR="00FF5A3F" w:rsidRPr="00183A6A">
        <w:rPr>
          <w:rFonts w:cs="Arial"/>
          <w:b/>
          <w:szCs w:val="20"/>
        </w:rPr>
        <w:t xml:space="preserve">Prof. </w:t>
      </w:r>
      <w:r w:rsidR="006404BC" w:rsidRPr="00183A6A">
        <w:rPr>
          <w:rFonts w:eastAsia="Times New Roman" w:cs="Arial"/>
          <w:b/>
          <w:bCs/>
          <w:szCs w:val="20"/>
          <w:lang w:eastAsia="en-GB"/>
        </w:rPr>
        <w:t>Dr Gerhard</w:t>
      </w:r>
      <w:r w:rsidR="006404BC" w:rsidRPr="00D4067C">
        <w:rPr>
          <w:rFonts w:eastAsia="Times New Roman" w:cs="Arial"/>
          <w:b/>
          <w:bCs/>
          <w:szCs w:val="20"/>
          <w:lang w:eastAsia="en-GB"/>
        </w:rPr>
        <w:t xml:space="preserve"> Bühringer </w:t>
      </w:r>
      <w:r w:rsidR="006404BC" w:rsidRPr="00D4067C">
        <w:rPr>
          <w:rFonts w:cs="Arial"/>
          <w:szCs w:val="20"/>
        </w:rPr>
        <w:t xml:space="preserve">said: </w:t>
      </w:r>
      <w:r w:rsidR="006404BC" w:rsidRPr="009F31A2">
        <w:rPr>
          <w:rFonts w:cs="Arial"/>
          <w:szCs w:val="20"/>
        </w:rPr>
        <w:t xml:space="preserve">‘The EMCDDA Scientific </w:t>
      </w:r>
      <w:r w:rsidR="00D4067C" w:rsidRPr="009F31A2">
        <w:rPr>
          <w:rFonts w:cs="Arial"/>
          <w:szCs w:val="20"/>
        </w:rPr>
        <w:t>p</w:t>
      </w:r>
      <w:r w:rsidR="006404BC" w:rsidRPr="009F31A2">
        <w:rPr>
          <w:rFonts w:cs="Arial"/>
          <w:szCs w:val="20"/>
        </w:rPr>
        <w:t xml:space="preserve">aper </w:t>
      </w:r>
      <w:r w:rsidR="00D4067C" w:rsidRPr="009F31A2">
        <w:rPr>
          <w:rFonts w:cs="Arial"/>
          <w:szCs w:val="20"/>
        </w:rPr>
        <w:t>a</w:t>
      </w:r>
      <w:r w:rsidR="006404BC" w:rsidRPr="009F31A2">
        <w:rPr>
          <w:rFonts w:cs="Arial"/>
          <w:szCs w:val="20"/>
        </w:rPr>
        <w:t>ward promote</w:t>
      </w:r>
      <w:r w:rsidR="00D4067C" w:rsidRPr="009F31A2">
        <w:rPr>
          <w:rFonts w:cs="Arial"/>
          <w:szCs w:val="20"/>
        </w:rPr>
        <w:t>s</w:t>
      </w:r>
      <w:r w:rsidR="006404BC" w:rsidRPr="009F31A2">
        <w:rPr>
          <w:rFonts w:cs="Arial"/>
          <w:szCs w:val="20"/>
        </w:rPr>
        <w:t xml:space="preserve"> excellence in academic publishing </w:t>
      </w:r>
      <w:r w:rsidR="009F31A2" w:rsidRPr="009F31A2">
        <w:rPr>
          <w:rFonts w:cs="Arial"/>
          <w:szCs w:val="20"/>
        </w:rPr>
        <w:t>and</w:t>
      </w:r>
      <w:r w:rsidR="00D4067C" w:rsidRPr="009F31A2">
        <w:rPr>
          <w:rFonts w:cs="Arial"/>
          <w:szCs w:val="20"/>
        </w:rPr>
        <w:t xml:space="preserve"> support</w:t>
      </w:r>
      <w:r w:rsidR="009F31A2" w:rsidRPr="009F31A2">
        <w:rPr>
          <w:rFonts w:cs="Arial"/>
          <w:szCs w:val="20"/>
        </w:rPr>
        <w:t>s</w:t>
      </w:r>
      <w:r w:rsidR="00D4067C" w:rsidRPr="009F31A2">
        <w:rPr>
          <w:rFonts w:cs="Arial"/>
          <w:szCs w:val="20"/>
        </w:rPr>
        <w:t xml:space="preserve"> </w:t>
      </w:r>
      <w:r w:rsidR="006404BC" w:rsidRPr="009F31A2">
        <w:rPr>
          <w:rFonts w:cs="Arial"/>
          <w:szCs w:val="20"/>
        </w:rPr>
        <w:t>major advancements in th</w:t>
      </w:r>
      <w:r w:rsidR="009F31A2">
        <w:rPr>
          <w:rFonts w:cs="Arial"/>
          <w:szCs w:val="20"/>
        </w:rPr>
        <w:t>e</w:t>
      </w:r>
      <w:r w:rsidR="00E7436F">
        <w:rPr>
          <w:rFonts w:cs="Arial"/>
          <w:szCs w:val="20"/>
        </w:rPr>
        <w:t xml:space="preserve"> drugs</w:t>
      </w:r>
      <w:r w:rsidR="006404BC" w:rsidRPr="009F31A2">
        <w:rPr>
          <w:rFonts w:cs="Arial"/>
          <w:szCs w:val="20"/>
        </w:rPr>
        <w:t xml:space="preserve"> field</w:t>
      </w:r>
      <w:r w:rsidR="009F31A2">
        <w:rPr>
          <w:rFonts w:cs="Arial"/>
          <w:szCs w:val="20"/>
        </w:rPr>
        <w:t xml:space="preserve">, thereby </w:t>
      </w:r>
      <w:r w:rsidR="006404BC" w:rsidRPr="009F31A2">
        <w:rPr>
          <w:rFonts w:cs="Arial"/>
          <w:szCs w:val="20"/>
        </w:rPr>
        <w:t>contribut</w:t>
      </w:r>
      <w:r w:rsidR="009F31A2">
        <w:rPr>
          <w:rFonts w:cs="Arial"/>
          <w:szCs w:val="20"/>
        </w:rPr>
        <w:t>ing</w:t>
      </w:r>
      <w:r w:rsidR="006404BC" w:rsidRPr="009F31A2">
        <w:rPr>
          <w:rFonts w:cs="Arial"/>
          <w:szCs w:val="20"/>
        </w:rPr>
        <w:t xml:space="preserve"> to improvements in policy and practice. The </w:t>
      </w:r>
      <w:r w:rsidR="009567A6">
        <w:rPr>
          <w:rFonts w:cs="Arial"/>
          <w:szCs w:val="20"/>
        </w:rPr>
        <w:t xml:space="preserve">growing </w:t>
      </w:r>
      <w:r w:rsidR="006404BC" w:rsidRPr="009F31A2">
        <w:rPr>
          <w:rFonts w:cs="Arial"/>
          <w:szCs w:val="20"/>
        </w:rPr>
        <w:t>number of nominations for th</w:t>
      </w:r>
      <w:r w:rsidR="009F31A2">
        <w:rPr>
          <w:rFonts w:cs="Arial"/>
          <w:szCs w:val="20"/>
        </w:rPr>
        <w:t>e</w:t>
      </w:r>
      <w:r w:rsidR="006404BC" w:rsidRPr="009F31A2">
        <w:rPr>
          <w:rFonts w:cs="Arial"/>
          <w:szCs w:val="20"/>
        </w:rPr>
        <w:t xml:space="preserve"> award from all over Europe reaffirms </w:t>
      </w:r>
      <w:r w:rsidR="00D4067C" w:rsidRPr="009F31A2">
        <w:rPr>
          <w:rFonts w:cs="Arial"/>
          <w:szCs w:val="20"/>
        </w:rPr>
        <w:t xml:space="preserve">its </w:t>
      </w:r>
      <w:r w:rsidR="009567A6">
        <w:rPr>
          <w:rFonts w:cs="Arial"/>
          <w:szCs w:val="20"/>
        </w:rPr>
        <w:t>high</w:t>
      </w:r>
      <w:r w:rsidR="006404BC" w:rsidRPr="009F31A2">
        <w:rPr>
          <w:rFonts w:cs="Arial"/>
          <w:szCs w:val="20"/>
        </w:rPr>
        <w:t xml:space="preserve"> reputation and the role of EMCDDA and </w:t>
      </w:r>
      <w:r w:rsidR="0050657F">
        <w:rPr>
          <w:rFonts w:cs="Arial"/>
          <w:szCs w:val="20"/>
        </w:rPr>
        <w:t>its</w:t>
      </w:r>
      <w:r w:rsidR="006404BC" w:rsidRPr="009F31A2">
        <w:rPr>
          <w:rFonts w:cs="Arial"/>
          <w:szCs w:val="20"/>
        </w:rPr>
        <w:t xml:space="preserve"> Scientific Com</w:t>
      </w:r>
      <w:r w:rsidR="00D4067C" w:rsidRPr="009F31A2">
        <w:rPr>
          <w:rFonts w:cs="Arial"/>
          <w:szCs w:val="20"/>
        </w:rPr>
        <w:t>mittee in promoting</w:t>
      </w:r>
      <w:r w:rsidR="00D4067C">
        <w:rPr>
          <w:rFonts w:cs="Arial"/>
          <w:szCs w:val="20"/>
        </w:rPr>
        <w:t xml:space="preserve"> research around</w:t>
      </w:r>
      <w:r w:rsidR="006404BC" w:rsidRPr="00D4067C">
        <w:rPr>
          <w:rFonts w:cs="Arial"/>
          <w:szCs w:val="20"/>
        </w:rPr>
        <w:t xml:space="preserve"> this important </w:t>
      </w:r>
      <w:r w:rsidR="009F31A2">
        <w:rPr>
          <w:rFonts w:cs="Arial"/>
          <w:szCs w:val="20"/>
        </w:rPr>
        <w:t>issue’</w:t>
      </w:r>
      <w:r w:rsidR="006404BC" w:rsidRPr="00D4067C">
        <w:rPr>
          <w:rFonts w:cs="Arial"/>
          <w:szCs w:val="20"/>
        </w:rPr>
        <w:t>.</w:t>
      </w:r>
      <w:r w:rsidR="0090401B" w:rsidRPr="00D4067C">
        <w:t xml:space="preserve">           </w:t>
      </w:r>
    </w:p>
    <w:p w:rsidR="0090401B" w:rsidRDefault="00D4067C" w:rsidP="00E7436F">
      <w:pPr>
        <w:pStyle w:val="newsContent"/>
        <w:spacing w:after="120" w:line="240" w:lineRule="auto"/>
        <w:rPr>
          <w:lang w:val="en"/>
        </w:rPr>
      </w:pPr>
      <w:r w:rsidRPr="009567A6">
        <w:rPr>
          <w:b/>
        </w:rPr>
        <w:t>A</w:t>
      </w:r>
      <w:r w:rsidR="0090401B" w:rsidRPr="009567A6">
        <w:rPr>
          <w:b/>
        </w:rPr>
        <w:t>ward ceremony</w:t>
      </w:r>
      <w:r w:rsidRPr="009567A6">
        <w:rPr>
          <w:b/>
        </w:rPr>
        <w:t>:</w:t>
      </w:r>
      <w:r w:rsidR="0090401B" w:rsidRPr="00323540">
        <w:t xml:space="preserve"> </w:t>
      </w:r>
      <w:r w:rsidR="00846A62" w:rsidRPr="00323540">
        <w:t>17</w:t>
      </w:r>
      <w:r w:rsidR="0090401B" w:rsidRPr="00323540">
        <w:t>.00</w:t>
      </w:r>
      <w:r>
        <w:t>–</w:t>
      </w:r>
      <w:r w:rsidR="00846A62" w:rsidRPr="00323540">
        <w:t>19</w:t>
      </w:r>
      <w:r w:rsidR="0090401B" w:rsidRPr="00323540">
        <w:t xml:space="preserve">.00 </w:t>
      </w:r>
      <w:r w:rsidR="009567A6">
        <w:t>—</w:t>
      </w:r>
      <w:r>
        <w:t xml:space="preserve"> </w:t>
      </w:r>
      <w:r w:rsidR="009567A6">
        <w:t xml:space="preserve">Tuesday </w:t>
      </w:r>
      <w:r w:rsidRPr="00323540">
        <w:t>25 November</w:t>
      </w:r>
      <w:r w:rsidR="006D70C7">
        <w:t>, Praça Europa 4</w:t>
      </w:r>
      <w:r w:rsidR="009567A6">
        <w:t xml:space="preserve"> (open to the press)</w:t>
      </w:r>
      <w:r w:rsidR="0090401B" w:rsidRPr="00323540">
        <w:t>.</w:t>
      </w:r>
      <w:r w:rsidR="0090401B" w:rsidRPr="00900444">
        <w:rPr>
          <w:b/>
        </w:rPr>
        <w:t xml:space="preserve"> </w:t>
      </w:r>
    </w:p>
    <w:p w:rsidR="009945F4" w:rsidRPr="00365B91" w:rsidRDefault="0090401B" w:rsidP="00E7436F">
      <w:pPr>
        <w:pStyle w:val="Pa5"/>
        <w:spacing w:line="240" w:lineRule="auto"/>
        <w:rPr>
          <w:rFonts w:ascii="Arial" w:hAnsi="Arial" w:cs="Arial"/>
          <w:sz w:val="14"/>
          <w:szCs w:val="14"/>
        </w:rPr>
      </w:pPr>
      <w:r w:rsidRPr="00365B91">
        <w:rPr>
          <w:rFonts w:ascii="Arial" w:hAnsi="Arial" w:cs="Arial"/>
          <w:sz w:val="14"/>
          <w:szCs w:val="14"/>
        </w:rPr>
        <w:t>(</w:t>
      </w:r>
      <w:r w:rsidRPr="00365B91">
        <w:rPr>
          <w:rFonts w:ascii="Arial" w:hAnsi="Arial" w:cs="Arial"/>
          <w:sz w:val="14"/>
          <w:szCs w:val="14"/>
          <w:vertAlign w:val="superscript"/>
        </w:rPr>
        <w:t>1</w:t>
      </w:r>
      <w:r w:rsidRPr="00365B91">
        <w:rPr>
          <w:rFonts w:ascii="Arial" w:hAnsi="Arial" w:cs="Arial"/>
          <w:sz w:val="14"/>
          <w:szCs w:val="14"/>
        </w:rPr>
        <w:t xml:space="preserve">) </w:t>
      </w:r>
      <w:hyperlink r:id="rId11" w:history="1">
        <w:r w:rsidR="009945F4" w:rsidRPr="00365B91">
          <w:rPr>
            <w:rStyle w:val="Hyperlink"/>
            <w:rFonts w:cs="Arial"/>
            <w:sz w:val="14"/>
            <w:szCs w:val="14"/>
          </w:rPr>
          <w:t>www.emcdda.europa.eu/activities/scientific-paper-award</w:t>
        </w:r>
      </w:hyperlink>
    </w:p>
    <w:p w:rsidR="000D406E" w:rsidRPr="000D406E" w:rsidRDefault="0090401B" w:rsidP="00E7436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0D406E">
        <w:rPr>
          <w:rFonts w:ascii="Arial" w:hAnsi="Arial" w:cs="Arial"/>
          <w:sz w:val="14"/>
          <w:szCs w:val="14"/>
        </w:rPr>
        <w:t>(</w:t>
      </w:r>
      <w:r w:rsidRPr="000D406E">
        <w:rPr>
          <w:rFonts w:ascii="Arial" w:hAnsi="Arial" w:cs="Arial"/>
          <w:sz w:val="14"/>
          <w:szCs w:val="14"/>
          <w:vertAlign w:val="superscript"/>
        </w:rPr>
        <w:t>2</w:t>
      </w:r>
      <w:r w:rsidRPr="000D406E">
        <w:rPr>
          <w:rFonts w:ascii="Arial" w:hAnsi="Arial" w:cs="Arial"/>
          <w:sz w:val="14"/>
          <w:szCs w:val="14"/>
        </w:rPr>
        <w:t xml:space="preserve">) </w:t>
      </w:r>
      <w:hyperlink r:id="rId12" w:history="1">
        <w:r w:rsidR="000D406E" w:rsidRPr="000D406E">
          <w:rPr>
            <w:rStyle w:val="Hyperlink"/>
            <w:rFonts w:cs="Arial"/>
            <w:sz w:val="14"/>
            <w:szCs w:val="14"/>
          </w:rPr>
          <w:t>www.emcdda.europa.eu/news/2014/third-reitox-week</w:t>
        </w:r>
      </w:hyperlink>
      <w:r w:rsidR="000D406E" w:rsidRPr="000D406E">
        <w:rPr>
          <w:rFonts w:ascii="Arial" w:hAnsi="Arial" w:cs="Arial"/>
          <w:sz w:val="14"/>
          <w:szCs w:val="14"/>
        </w:rPr>
        <w:t xml:space="preserve"> </w:t>
      </w:r>
    </w:p>
    <w:p w:rsidR="00E7436F" w:rsidRPr="00365B91" w:rsidRDefault="00E7436F" w:rsidP="00E7436F">
      <w:pPr>
        <w:spacing w:after="0" w:line="240" w:lineRule="auto"/>
        <w:rPr>
          <w:rFonts w:ascii="Arial" w:hAnsi="Arial" w:cs="Arial"/>
          <w:sz w:val="14"/>
          <w:szCs w:val="14"/>
          <w:lang w:val="nn-NO"/>
        </w:rPr>
      </w:pPr>
      <w:r w:rsidRPr="00365B91">
        <w:rPr>
          <w:rFonts w:ascii="Arial" w:hAnsi="Arial" w:cs="Arial"/>
          <w:sz w:val="14"/>
          <w:szCs w:val="14"/>
          <w:lang w:val="nn-NO"/>
        </w:rPr>
        <w:t>(</w:t>
      </w:r>
      <w:r w:rsidRPr="00365B91">
        <w:rPr>
          <w:rFonts w:ascii="Arial" w:hAnsi="Arial" w:cs="Arial"/>
          <w:sz w:val="14"/>
          <w:szCs w:val="14"/>
          <w:vertAlign w:val="superscript"/>
          <w:lang w:val="nn-NO"/>
        </w:rPr>
        <w:t>3</w:t>
      </w:r>
      <w:r w:rsidRPr="00365B91">
        <w:rPr>
          <w:rFonts w:ascii="Arial" w:hAnsi="Arial" w:cs="Arial"/>
          <w:sz w:val="14"/>
          <w:szCs w:val="14"/>
          <w:lang w:val="nn-NO"/>
        </w:rPr>
        <w:t xml:space="preserve">) </w:t>
      </w:r>
      <w:hyperlink r:id="rId13" w:history="1">
        <w:r w:rsidRPr="00365B91">
          <w:rPr>
            <w:rStyle w:val="Hyperlink"/>
            <w:rFonts w:cs="Arial"/>
            <w:sz w:val="14"/>
            <w:szCs w:val="14"/>
            <w:lang w:val="nn-NO"/>
          </w:rPr>
          <w:t>http://ec.europa.eu/justice/anti-drugs/files/equs_main_report_en.pdf</w:t>
        </w:r>
      </w:hyperlink>
    </w:p>
    <w:sectPr w:rsidR="00E7436F" w:rsidRPr="00365B91" w:rsidSect="00C11EDD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1644" w:right="1276" w:bottom="993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2C0" w:rsidRDefault="00AE72C0" w:rsidP="009A28FB">
      <w:pPr>
        <w:spacing w:after="0" w:line="240" w:lineRule="auto"/>
      </w:pPr>
      <w:r>
        <w:separator/>
      </w:r>
    </w:p>
  </w:endnote>
  <w:endnote w:type="continuationSeparator" w:id="0">
    <w:p w:rsidR="00AE72C0" w:rsidRDefault="00AE72C0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ivia Sans Regular">
    <w:altName w:val="Trivia Sans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97"/>
      <w:gridCol w:w="7293"/>
    </w:tblGrid>
    <w:tr w:rsidR="00BF1E3B" w:rsidTr="002F4635">
      <w:tc>
        <w:tcPr>
          <w:tcW w:w="1444" w:type="dxa"/>
        </w:tcPr>
        <w:p w:rsidR="00BF1E3B" w:rsidRDefault="00BF1E3B" w:rsidP="00D37865">
          <w:pPr>
            <w:pStyle w:val="newsCoordinates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5979EF4F" wp14:editId="35DE7F31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2F4635" w:rsidP="00BF1E3B">
          <w:pPr>
            <w:pStyle w:val="newsReferenc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D406E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63677C" w:rsidP="003B00EE">
          <w:pPr>
            <w:pStyle w:val="newsCoordinates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18618FB3" wp14:editId="71D27E25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>
            <w:t xml:space="preserve">Contact: Kathy Robertson, Media relations </w:t>
          </w:r>
          <w:r w:rsidRPr="00FC0187">
            <w:rPr>
              <w:sz w:val="18"/>
            </w:rPr>
            <w:t>I</w:t>
          </w:r>
          <w:r>
            <w:t xml:space="preserve"> Kathryn.Robertson@emcdda.europa.eu </w:t>
          </w:r>
        </w:p>
        <w:p w:rsidR="0063677C" w:rsidRPr="002813EC" w:rsidRDefault="0063677C" w:rsidP="003B00EE">
          <w:pPr>
            <w:pStyle w:val="newsCoordinates"/>
            <w:rPr>
              <w:lang w:val="pt-PT"/>
            </w:rPr>
          </w:pPr>
          <w:r w:rsidRPr="002813EC">
            <w:rPr>
              <w:lang w:val="pt-PT"/>
            </w:rPr>
            <w:t xml:space="preserve">Praça Europa 1, Cais do Sodré, 1249-289 Lisbon, Portugal </w:t>
          </w:r>
        </w:p>
        <w:p w:rsidR="0063677C" w:rsidRDefault="0063677C" w:rsidP="003B00EE">
          <w:pPr>
            <w:pStyle w:val="newsCoordinates"/>
          </w:pPr>
          <w:r>
            <w:t xml:space="preserve">Tel. (351) 211 21 02 00 </w:t>
          </w:r>
          <w:r w:rsidRPr="00FC0187">
            <w:rPr>
              <w:sz w:val="18"/>
            </w:rPr>
            <w:t xml:space="preserve">I </w:t>
          </w:r>
          <w:r>
            <w:t xml:space="preserve">press@emcdda.europa.eu </w:t>
          </w:r>
          <w:r w:rsidRPr="00FC0187">
            <w:rPr>
              <w:sz w:val="18"/>
            </w:rPr>
            <w:t>I</w:t>
          </w:r>
          <w:r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63677C" w:rsidP="0090401B">
          <w:pPr>
            <w:pStyle w:val="newsReference"/>
            <w:jc w:val="right"/>
          </w:pPr>
          <w:r w:rsidRPr="00FC0187">
            <w:t>EN</w:t>
          </w:r>
          <w:r w:rsidR="0090401B">
            <w:t xml:space="preserve"> — No 9</w:t>
          </w:r>
          <w:r w:rsidRPr="00FC0187">
            <w:t>/</w:t>
          </w:r>
          <w:r w:rsidR="0090401B">
            <w:t>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2C0" w:rsidRDefault="00AE72C0" w:rsidP="009A28FB">
      <w:pPr>
        <w:spacing w:after="0" w:line="240" w:lineRule="auto"/>
      </w:pPr>
      <w:r>
        <w:separator/>
      </w:r>
    </w:p>
  </w:footnote>
  <w:footnote w:type="continuationSeparator" w:id="0">
    <w:p w:rsidR="00AE72C0" w:rsidRDefault="00AE72C0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BF1E3B" w:rsidP="00CC4FDA">
          <w:pPr>
            <w:pStyle w:val="newsEmbargo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7EE06BF3" wp14:editId="029A552C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="0090401B">
            <w:rPr>
              <w:noProof/>
              <w:lang w:eastAsia="en-GB"/>
            </w:rPr>
            <w:t>xxxxx</w:t>
          </w:r>
        </w:p>
      </w:tc>
      <w:tc>
        <w:tcPr>
          <w:tcW w:w="3294" w:type="dxa"/>
          <w:vAlign w:val="bottom"/>
        </w:tcPr>
        <w:p w:rsidR="00BF1E3B" w:rsidRDefault="00BF1E3B" w:rsidP="0090401B">
          <w:pPr>
            <w:pStyle w:val="newsReference"/>
            <w:jc w:val="right"/>
          </w:pPr>
          <w:r w:rsidRPr="00CC4FDA">
            <w:t>2</w:t>
          </w:r>
          <w:r w:rsidR="0090401B">
            <w:t>4</w:t>
          </w:r>
          <w:r w:rsidRPr="00CC4FDA">
            <w:t>.</w:t>
          </w:r>
          <w:r w:rsidR="0090401B">
            <w:t>11</w:t>
          </w:r>
          <w:r w:rsidRPr="00CC4FDA">
            <w:t>.201</w:t>
          </w:r>
          <w:r w:rsidR="0090401B">
            <w:t>4</w:t>
          </w:r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3FCB"/>
    <w:multiLevelType w:val="singleLevel"/>
    <w:tmpl w:val="2B1C1D38"/>
    <w:lvl w:ilvl="0">
      <w:start w:val="1"/>
      <w:numFmt w:val="bullet"/>
      <w:pStyle w:val="BulletstyleBlue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">
    <w:nsid w:val="1B5B3AFA"/>
    <w:multiLevelType w:val="hybridMultilevel"/>
    <w:tmpl w:val="010C71B4"/>
    <w:lvl w:ilvl="0" w:tplc="947E1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563E8"/>
    <w:multiLevelType w:val="hybridMultilevel"/>
    <w:tmpl w:val="7570EB30"/>
    <w:lvl w:ilvl="0" w:tplc="378E9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515D0"/>
    <w:multiLevelType w:val="hybridMultilevel"/>
    <w:tmpl w:val="DBD28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F7DA0"/>
    <w:multiLevelType w:val="hybridMultilevel"/>
    <w:tmpl w:val="B54EECA2"/>
    <w:lvl w:ilvl="0" w:tplc="9DC8B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54E35"/>
    <w:multiLevelType w:val="multilevel"/>
    <w:tmpl w:val="04D2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DF6019"/>
    <w:multiLevelType w:val="hybridMultilevel"/>
    <w:tmpl w:val="39BC66A8"/>
    <w:lvl w:ilvl="0" w:tplc="786647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D3862"/>
    <w:multiLevelType w:val="hybridMultilevel"/>
    <w:tmpl w:val="83608104"/>
    <w:lvl w:ilvl="0" w:tplc="9DC8B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4300C9"/>
    <w:multiLevelType w:val="hybridMultilevel"/>
    <w:tmpl w:val="8F366C18"/>
    <w:lvl w:ilvl="0" w:tplc="7554B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69"/>
    <w:rsid w:val="00014E8E"/>
    <w:rsid w:val="00035F9F"/>
    <w:rsid w:val="00036DAA"/>
    <w:rsid w:val="000535B7"/>
    <w:rsid w:val="00054FA6"/>
    <w:rsid w:val="00067DD3"/>
    <w:rsid w:val="000A1B62"/>
    <w:rsid w:val="000C6200"/>
    <w:rsid w:val="000D406E"/>
    <w:rsid w:val="000E1CDF"/>
    <w:rsid w:val="00105BFC"/>
    <w:rsid w:val="00107C96"/>
    <w:rsid w:val="0017713E"/>
    <w:rsid w:val="001800D0"/>
    <w:rsid w:val="00183A6A"/>
    <w:rsid w:val="001A1857"/>
    <w:rsid w:val="001A3338"/>
    <w:rsid w:val="001C795A"/>
    <w:rsid w:val="001D5C26"/>
    <w:rsid w:val="001F70B4"/>
    <w:rsid w:val="00204CF8"/>
    <w:rsid w:val="00223753"/>
    <w:rsid w:val="0025435E"/>
    <w:rsid w:val="002557B0"/>
    <w:rsid w:val="002646E4"/>
    <w:rsid w:val="0027252D"/>
    <w:rsid w:val="002813EC"/>
    <w:rsid w:val="0028141E"/>
    <w:rsid w:val="002948E2"/>
    <w:rsid w:val="002A61F7"/>
    <w:rsid w:val="002B05CE"/>
    <w:rsid w:val="002B45AC"/>
    <w:rsid w:val="002F4635"/>
    <w:rsid w:val="00323540"/>
    <w:rsid w:val="0033158E"/>
    <w:rsid w:val="00340F2F"/>
    <w:rsid w:val="00353341"/>
    <w:rsid w:val="0036121D"/>
    <w:rsid w:val="00365B91"/>
    <w:rsid w:val="00383DF7"/>
    <w:rsid w:val="00387D02"/>
    <w:rsid w:val="003B41B1"/>
    <w:rsid w:val="003C0395"/>
    <w:rsid w:val="004137B0"/>
    <w:rsid w:val="004221D3"/>
    <w:rsid w:val="0044111C"/>
    <w:rsid w:val="00445080"/>
    <w:rsid w:val="0045468D"/>
    <w:rsid w:val="004847FB"/>
    <w:rsid w:val="004C3028"/>
    <w:rsid w:val="004C3120"/>
    <w:rsid w:val="004D6E0C"/>
    <w:rsid w:val="0050657F"/>
    <w:rsid w:val="00520EF1"/>
    <w:rsid w:val="00542CEE"/>
    <w:rsid w:val="005A0DC8"/>
    <w:rsid w:val="005B05A0"/>
    <w:rsid w:val="005B0882"/>
    <w:rsid w:val="005B1B63"/>
    <w:rsid w:val="005C4033"/>
    <w:rsid w:val="006066EB"/>
    <w:rsid w:val="006116D9"/>
    <w:rsid w:val="00623A55"/>
    <w:rsid w:val="0063677C"/>
    <w:rsid w:val="006404BC"/>
    <w:rsid w:val="00666A63"/>
    <w:rsid w:val="00681764"/>
    <w:rsid w:val="006D70C7"/>
    <w:rsid w:val="00730132"/>
    <w:rsid w:val="007667FC"/>
    <w:rsid w:val="00773814"/>
    <w:rsid w:val="00791F09"/>
    <w:rsid w:val="00791FA7"/>
    <w:rsid w:val="007B0E03"/>
    <w:rsid w:val="007B1CCD"/>
    <w:rsid w:val="007F0BD0"/>
    <w:rsid w:val="00813FB5"/>
    <w:rsid w:val="00841E86"/>
    <w:rsid w:val="00846A62"/>
    <w:rsid w:val="00881730"/>
    <w:rsid w:val="008C1172"/>
    <w:rsid w:val="008D54B3"/>
    <w:rsid w:val="008F177B"/>
    <w:rsid w:val="008F399E"/>
    <w:rsid w:val="00902300"/>
    <w:rsid w:val="00902E68"/>
    <w:rsid w:val="0090401B"/>
    <w:rsid w:val="00955F0C"/>
    <w:rsid w:val="009567A6"/>
    <w:rsid w:val="00974A27"/>
    <w:rsid w:val="00985C28"/>
    <w:rsid w:val="009945F4"/>
    <w:rsid w:val="009A28FB"/>
    <w:rsid w:val="009D6255"/>
    <w:rsid w:val="009E1959"/>
    <w:rsid w:val="009F31A2"/>
    <w:rsid w:val="009F4FB0"/>
    <w:rsid w:val="00A0788A"/>
    <w:rsid w:val="00A16B77"/>
    <w:rsid w:val="00A311EF"/>
    <w:rsid w:val="00A3254D"/>
    <w:rsid w:val="00A62A9A"/>
    <w:rsid w:val="00A661E2"/>
    <w:rsid w:val="00A856B7"/>
    <w:rsid w:val="00AA6E4C"/>
    <w:rsid w:val="00AC2669"/>
    <w:rsid w:val="00AD7BFC"/>
    <w:rsid w:val="00AE093C"/>
    <w:rsid w:val="00AE1738"/>
    <w:rsid w:val="00AE72C0"/>
    <w:rsid w:val="00AF13B3"/>
    <w:rsid w:val="00AF259D"/>
    <w:rsid w:val="00B11B73"/>
    <w:rsid w:val="00B25554"/>
    <w:rsid w:val="00B272F1"/>
    <w:rsid w:val="00B51E08"/>
    <w:rsid w:val="00B57464"/>
    <w:rsid w:val="00B61036"/>
    <w:rsid w:val="00B72DD3"/>
    <w:rsid w:val="00B7335C"/>
    <w:rsid w:val="00B97BC5"/>
    <w:rsid w:val="00BB60CF"/>
    <w:rsid w:val="00BD5200"/>
    <w:rsid w:val="00BF1E3B"/>
    <w:rsid w:val="00C11EDD"/>
    <w:rsid w:val="00C314D1"/>
    <w:rsid w:val="00C36BC1"/>
    <w:rsid w:val="00C628C4"/>
    <w:rsid w:val="00C63254"/>
    <w:rsid w:val="00C874C0"/>
    <w:rsid w:val="00CA2FF5"/>
    <w:rsid w:val="00CB49DA"/>
    <w:rsid w:val="00CC1F19"/>
    <w:rsid w:val="00CC4FDA"/>
    <w:rsid w:val="00CC6A8B"/>
    <w:rsid w:val="00CE70EF"/>
    <w:rsid w:val="00D01335"/>
    <w:rsid w:val="00D03EC6"/>
    <w:rsid w:val="00D3312B"/>
    <w:rsid w:val="00D37865"/>
    <w:rsid w:val="00D4067C"/>
    <w:rsid w:val="00D57367"/>
    <w:rsid w:val="00D84AE3"/>
    <w:rsid w:val="00D92A34"/>
    <w:rsid w:val="00E321BA"/>
    <w:rsid w:val="00E57C9D"/>
    <w:rsid w:val="00E66CCD"/>
    <w:rsid w:val="00E7436F"/>
    <w:rsid w:val="00E81F3D"/>
    <w:rsid w:val="00E83FC3"/>
    <w:rsid w:val="00EE23CC"/>
    <w:rsid w:val="00F06CDE"/>
    <w:rsid w:val="00F21CA9"/>
    <w:rsid w:val="00F24096"/>
    <w:rsid w:val="00F414EF"/>
    <w:rsid w:val="00F47542"/>
    <w:rsid w:val="00FB351B"/>
    <w:rsid w:val="00FC0187"/>
    <w:rsid w:val="00FE3721"/>
    <w:rsid w:val="00FE4789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04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365B91"/>
    <w:pPr>
      <w:tabs>
        <w:tab w:val="left" w:pos="5205"/>
      </w:tabs>
      <w:spacing w:before="120" w:after="112" w:line="280" w:lineRule="exact"/>
    </w:pPr>
    <w:rPr>
      <w:rFonts w:ascii="Arial" w:hAnsi="Arial"/>
      <w: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9567A6"/>
    <w:pPr>
      <w:spacing w:after="300" w:line="300" w:lineRule="exact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autoRedefine/>
    <w:qFormat/>
    <w:rsid w:val="00985C28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974A2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985C28"/>
    <w:rPr>
      <w:rFonts w:ascii="Arial" w:hAnsi="Arial"/>
      <w:color w:val="000000" w:themeColor="text1"/>
      <w:sz w:val="20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/>
      <w:color w:val="000000" w:themeColor="text1"/>
      <w:sz w:val="17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</w:rPr>
  </w:style>
  <w:style w:type="paragraph" w:customStyle="1" w:styleId="MaintextstyleBlack">
    <w:name w:val="*Main text style (Black)"/>
    <w:basedOn w:val="Normal"/>
    <w:rsid w:val="007F0BD0"/>
    <w:pPr>
      <w:spacing w:after="227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BulletstyleBlue">
    <w:name w:val="*Bullet style (Blue)"/>
    <w:basedOn w:val="MaintextstyleBlack"/>
    <w:rsid w:val="007F0BD0"/>
    <w:pPr>
      <w:numPr>
        <w:numId w:val="1"/>
      </w:numPr>
      <w:tabs>
        <w:tab w:val="clear" w:pos="360"/>
        <w:tab w:val="left" w:pos="227"/>
      </w:tabs>
      <w:spacing w:after="113"/>
    </w:pPr>
    <w:rPr>
      <w:color w:val="000080"/>
    </w:rPr>
  </w:style>
  <w:style w:type="paragraph" w:customStyle="1" w:styleId="CarcterCarcter">
    <w:name w:val="Carácter Carácter"/>
    <w:basedOn w:val="Normal"/>
    <w:rsid w:val="007F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Pa5">
    <w:name w:val="Pa5"/>
    <w:basedOn w:val="Normal"/>
    <w:next w:val="Normal"/>
    <w:uiPriority w:val="99"/>
    <w:rsid w:val="007F0BD0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</w:rPr>
  </w:style>
  <w:style w:type="paragraph" w:styleId="NormalWeb">
    <w:name w:val="Normal (Web)"/>
    <w:basedOn w:val="Normal"/>
    <w:uiPriority w:val="99"/>
    <w:unhideWhenUsed/>
    <w:rsid w:val="0025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404B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945F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0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F2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04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365B91"/>
    <w:pPr>
      <w:tabs>
        <w:tab w:val="left" w:pos="5205"/>
      </w:tabs>
      <w:spacing w:before="120" w:after="112" w:line="280" w:lineRule="exact"/>
    </w:pPr>
    <w:rPr>
      <w:rFonts w:ascii="Arial" w:hAnsi="Arial"/>
      <w: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9567A6"/>
    <w:pPr>
      <w:spacing w:after="300" w:line="300" w:lineRule="exact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autoRedefine/>
    <w:qFormat/>
    <w:rsid w:val="00985C28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974A2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985C28"/>
    <w:rPr>
      <w:rFonts w:ascii="Arial" w:hAnsi="Arial"/>
      <w:color w:val="000000" w:themeColor="text1"/>
      <w:sz w:val="20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/>
      <w:color w:val="000000" w:themeColor="text1"/>
      <w:sz w:val="17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</w:rPr>
  </w:style>
  <w:style w:type="paragraph" w:customStyle="1" w:styleId="MaintextstyleBlack">
    <w:name w:val="*Main text style (Black)"/>
    <w:basedOn w:val="Normal"/>
    <w:rsid w:val="007F0BD0"/>
    <w:pPr>
      <w:spacing w:after="227" w:line="260" w:lineRule="exact"/>
    </w:pPr>
    <w:rPr>
      <w:rFonts w:ascii="Arial" w:eastAsia="Times New Roman" w:hAnsi="Arial" w:cs="Times New Roman"/>
      <w:sz w:val="20"/>
      <w:szCs w:val="20"/>
    </w:rPr>
  </w:style>
  <w:style w:type="paragraph" w:customStyle="1" w:styleId="BulletstyleBlue">
    <w:name w:val="*Bullet style (Blue)"/>
    <w:basedOn w:val="MaintextstyleBlack"/>
    <w:rsid w:val="007F0BD0"/>
    <w:pPr>
      <w:numPr>
        <w:numId w:val="1"/>
      </w:numPr>
      <w:tabs>
        <w:tab w:val="clear" w:pos="360"/>
        <w:tab w:val="left" w:pos="227"/>
      </w:tabs>
      <w:spacing w:after="113"/>
    </w:pPr>
    <w:rPr>
      <w:color w:val="000080"/>
    </w:rPr>
  </w:style>
  <w:style w:type="paragraph" w:customStyle="1" w:styleId="CarcterCarcter">
    <w:name w:val="Carácter Carácter"/>
    <w:basedOn w:val="Normal"/>
    <w:rsid w:val="007F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Pa5">
    <w:name w:val="Pa5"/>
    <w:basedOn w:val="Normal"/>
    <w:next w:val="Normal"/>
    <w:uiPriority w:val="99"/>
    <w:rsid w:val="007F0BD0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</w:rPr>
  </w:style>
  <w:style w:type="paragraph" w:styleId="NormalWeb">
    <w:name w:val="Normal (Web)"/>
    <w:basedOn w:val="Normal"/>
    <w:uiPriority w:val="99"/>
    <w:unhideWhenUsed/>
    <w:rsid w:val="0025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404B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945F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0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F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.europa.eu/justice/anti-drugs/files/equs_main_report_en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mcdda.europa.eu/news/2014/third-reitox-wee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activities/scientific-paper-award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E79F6-66D2-4241-9E4E-8F6292F2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EN</vt:lpstr>
    </vt:vector>
  </TitlesOfParts>
  <Company>EMCDDA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EN</dc:title>
  <dc:subject>News release EN</dc:subject>
  <dc:creator>Kathryn Robertson</dc:creator>
  <cp:lastModifiedBy>Kathryn Robertson</cp:lastModifiedBy>
  <cp:revision>25</cp:revision>
  <cp:lastPrinted>2014-11-13T17:25:00Z</cp:lastPrinted>
  <dcterms:created xsi:type="dcterms:W3CDTF">2014-11-13T16:19:00Z</dcterms:created>
  <dcterms:modified xsi:type="dcterms:W3CDTF">2014-11-21T11:54:00Z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</Properties>
</file>