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70" w:rightFromText="170" w:vertAnchor="page" w:horzAnchor="margin" w:tblpXSpec="center" w:tblpY="710"/>
        <w:tblW w:w="56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0" w:type="dxa"/>
        </w:tblCellMar>
        <w:tblLook w:val="0680" w:firstRow="0" w:lastRow="0" w:firstColumn="1" w:lastColumn="0" w:noHBand="1" w:noVBand="1"/>
      </w:tblPr>
      <w:tblGrid>
        <w:gridCol w:w="4972"/>
        <w:gridCol w:w="5692"/>
      </w:tblGrid>
      <w:tr w:rsidR="00EE23CC" w:rsidTr="001F70B4">
        <w:trPr>
          <w:trHeight w:val="1695"/>
        </w:trPr>
        <w:tc>
          <w:tcPr>
            <w:tcW w:w="2331" w:type="pct"/>
          </w:tcPr>
          <w:p w:rsidR="00EE23CC" w:rsidRDefault="00355D27" w:rsidP="00EE23CC">
            <w:r w:rsidRPr="00355D27">
              <w:rPr>
                <w:noProof/>
                <w:lang w:eastAsia="en-GB"/>
              </w:rPr>
              <w:drawing>
                <wp:inline distT="0" distB="0" distL="0" distR="0" wp14:anchorId="055ADB80" wp14:editId="09A371E1">
                  <wp:extent cx="2559009" cy="612000"/>
                  <wp:effectExtent l="0" t="0" r="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-logo.em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009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9" w:type="pct"/>
          </w:tcPr>
          <w:p w:rsidR="00EE23CC" w:rsidRDefault="00EE23CC" w:rsidP="00EE23CC"/>
        </w:tc>
      </w:tr>
    </w:tbl>
    <w:tbl>
      <w:tblPr>
        <w:tblStyle w:val="TableGrid"/>
        <w:tblW w:w="12796" w:type="dxa"/>
        <w:tblInd w:w="-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6"/>
      </w:tblGrid>
      <w:tr w:rsidR="00EE23CC" w:rsidTr="007C3E46">
        <w:trPr>
          <w:trHeight w:val="1304"/>
        </w:trPr>
        <w:tc>
          <w:tcPr>
            <w:tcW w:w="12796" w:type="dxa"/>
            <w:vAlign w:val="bottom"/>
          </w:tcPr>
          <w:p w:rsidR="00EE23CC" w:rsidRDefault="00355D27" w:rsidP="001F70B4">
            <w:r w:rsidRPr="00355D27">
              <w:rPr>
                <w:noProof/>
                <w:lang w:eastAsia="en-GB"/>
              </w:rPr>
              <w:drawing>
                <wp:inline distT="0" distB="0" distL="0" distR="0" wp14:anchorId="5E5476F0" wp14:editId="6963C9D9">
                  <wp:extent cx="7562850" cy="920959"/>
                  <wp:effectExtent l="0" t="0" r="0" b="0"/>
                  <wp:docPr id="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ing-E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0" cy="920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6B77" w:rsidRPr="00B15340" w:rsidRDefault="000E640C" w:rsidP="000124DC">
      <w:pPr>
        <w:pStyle w:val="newsTitle"/>
        <w:rPr>
          <w:b/>
          <w:lang w:val="fr-LU"/>
        </w:rPr>
      </w:pPr>
      <w:r w:rsidRPr="00B15340">
        <w:t>PRIX</w:t>
      </w:r>
      <w:r w:rsidR="00224808" w:rsidRPr="00B15340">
        <w:t xml:space="preserve"> 2014 </w:t>
      </w:r>
      <w:r w:rsidR="00A556DD">
        <w:t>de la rÉ</w:t>
      </w:r>
      <w:r w:rsidR="007C3E46" w:rsidRPr="00B15340">
        <w:t>daction scientifique</w:t>
      </w:r>
      <w:r w:rsidR="00224808" w:rsidRPr="00B15340">
        <w:t xml:space="preserve"> de l’EMCDDA</w:t>
      </w:r>
      <w:r w:rsidR="00B15340">
        <w:t xml:space="preserve"> </w:t>
      </w:r>
      <w:r w:rsidR="00002CCE" w:rsidRPr="00B15340">
        <w:rPr>
          <w:rFonts w:cs="Arial"/>
        </w:rPr>
        <w:t>–</w:t>
      </w:r>
      <w:r w:rsidR="00224808" w:rsidRPr="00B15340">
        <w:t xml:space="preserve"> lisbonne</w:t>
      </w:r>
    </w:p>
    <w:p w:rsidR="00A16B77" w:rsidRPr="00AE0AC5" w:rsidRDefault="00941261" w:rsidP="000E640C">
      <w:pPr>
        <w:pStyle w:val="newsSubTitle"/>
        <w:rPr>
          <w:lang w:val="fr-LU"/>
        </w:rPr>
      </w:pPr>
      <w:r w:rsidRPr="000E640C">
        <w:rPr>
          <w:lang w:val="fr-FR"/>
        </w:rPr>
        <w:t xml:space="preserve">La </w:t>
      </w:r>
      <w:r w:rsidR="00387E3E" w:rsidRPr="000E640C">
        <w:rPr>
          <w:lang w:val="fr-FR"/>
        </w:rPr>
        <w:t xml:space="preserve">cérémonie </w:t>
      </w:r>
      <w:r w:rsidR="004A6D61">
        <w:rPr>
          <w:lang w:val="fr-FR"/>
        </w:rPr>
        <w:t xml:space="preserve">annuelle </w:t>
      </w:r>
      <w:r w:rsidR="00387E3E" w:rsidRPr="000E640C">
        <w:rPr>
          <w:lang w:val="fr-FR"/>
        </w:rPr>
        <w:t xml:space="preserve">de remise des prix </w:t>
      </w:r>
      <w:r w:rsidR="004A6D61">
        <w:rPr>
          <w:lang w:val="fr-FR"/>
        </w:rPr>
        <w:t>rendra</w:t>
      </w:r>
      <w:r w:rsidR="00387E3E" w:rsidRPr="000E640C">
        <w:rPr>
          <w:lang w:val="fr-FR"/>
        </w:rPr>
        <w:t xml:space="preserve"> hommage à l'excellence en matière de rédaction scientifique sur les drogues illicites</w:t>
      </w:r>
    </w:p>
    <w:p w:rsidR="00995662" w:rsidRPr="00AE0AC5" w:rsidRDefault="000E640C" w:rsidP="00B42483">
      <w:pPr>
        <w:pStyle w:val="newsContent"/>
        <w:rPr>
          <w:lang w:val="fr-LU"/>
        </w:rPr>
      </w:pPr>
      <w:r w:rsidRPr="000E640C">
        <w:rPr>
          <w:lang w:val="fr-FR"/>
        </w:rPr>
        <w:t xml:space="preserve">(24.11.2014, LISBONNE) </w:t>
      </w:r>
      <w:r w:rsidRPr="00A4739A">
        <w:rPr>
          <w:lang w:val="fr-FR"/>
        </w:rPr>
        <w:t xml:space="preserve">Les quatre lauréats du </w:t>
      </w:r>
      <w:r w:rsidRPr="00A4739A">
        <w:rPr>
          <w:b/>
          <w:lang w:val="fr-FR"/>
        </w:rPr>
        <w:t>prix 201</w:t>
      </w:r>
      <w:r w:rsidR="004A6D61">
        <w:rPr>
          <w:b/>
          <w:lang w:val="fr-FR"/>
        </w:rPr>
        <w:t>4</w:t>
      </w:r>
      <w:r w:rsidRPr="00A4739A">
        <w:rPr>
          <w:b/>
          <w:lang w:val="fr-FR"/>
        </w:rPr>
        <w:t xml:space="preserve"> de la rédaction scientifique de l’</w:t>
      </w:r>
      <w:r w:rsidR="004318D4" w:rsidRPr="00A4739A">
        <w:rPr>
          <w:b/>
          <w:lang w:val="fr-FR"/>
        </w:rPr>
        <w:t>EMCDDA</w:t>
      </w:r>
      <w:r w:rsidR="004318D4" w:rsidRPr="00A4739A">
        <w:rPr>
          <w:lang w:val="fr-FR"/>
        </w:rPr>
        <w:t xml:space="preserve"> </w:t>
      </w:r>
      <w:r w:rsidRPr="00A4739A">
        <w:rPr>
          <w:lang w:val="fr-FR"/>
        </w:rPr>
        <w:t xml:space="preserve">seront </w:t>
      </w:r>
      <w:r w:rsidR="00AE0AC5">
        <w:rPr>
          <w:lang w:val="fr-FR"/>
        </w:rPr>
        <w:t>à l’honneur</w:t>
      </w:r>
      <w:r w:rsidR="007E5184">
        <w:rPr>
          <w:lang w:val="fr-FR"/>
        </w:rPr>
        <w:t>,</w:t>
      </w:r>
      <w:r w:rsidRPr="00A4739A">
        <w:rPr>
          <w:lang w:val="fr-FR"/>
        </w:rPr>
        <w:t xml:space="preserve"> </w:t>
      </w:r>
      <w:r w:rsidR="004318D4" w:rsidRPr="00A4739A">
        <w:rPr>
          <w:lang w:val="fr-FR"/>
        </w:rPr>
        <w:t>le 25 novembre</w:t>
      </w:r>
      <w:r w:rsidR="00AE0AC5">
        <w:rPr>
          <w:lang w:val="fr-FR"/>
        </w:rPr>
        <w:t>,</w:t>
      </w:r>
      <w:r w:rsidR="007E5184">
        <w:rPr>
          <w:lang w:val="fr-FR"/>
        </w:rPr>
        <w:t xml:space="preserve"> </w:t>
      </w:r>
      <w:r w:rsidR="007E5184" w:rsidRPr="00A4739A">
        <w:rPr>
          <w:lang w:val="fr-FR"/>
        </w:rPr>
        <w:t>à Lisbonne</w:t>
      </w:r>
      <w:r w:rsidR="007E5184">
        <w:rPr>
          <w:lang w:val="fr-FR"/>
        </w:rPr>
        <w:t>,</w:t>
      </w:r>
      <w:r w:rsidR="007E5184" w:rsidRPr="00A4739A">
        <w:rPr>
          <w:lang w:val="fr-FR"/>
        </w:rPr>
        <w:t xml:space="preserve"> </w:t>
      </w:r>
      <w:r w:rsidR="00AE0AC5">
        <w:rPr>
          <w:lang w:val="fr-FR"/>
        </w:rPr>
        <w:t>lors</w:t>
      </w:r>
      <w:r w:rsidRPr="00A4739A">
        <w:rPr>
          <w:lang w:val="fr-FR"/>
        </w:rPr>
        <w:t xml:space="preserve"> la </w:t>
      </w:r>
      <w:r w:rsidR="004318D4" w:rsidRPr="00A4739A">
        <w:rPr>
          <w:lang w:val="fr-FR"/>
        </w:rPr>
        <w:t>quatrième</w:t>
      </w:r>
      <w:r w:rsidRPr="00A4739A">
        <w:rPr>
          <w:lang w:val="fr-FR"/>
        </w:rPr>
        <w:t xml:space="preserve"> cérémonie annuelle de remise des prix organisée par </w:t>
      </w:r>
      <w:r w:rsidRPr="00A4739A">
        <w:rPr>
          <w:b/>
          <w:lang w:val="fr-FR"/>
        </w:rPr>
        <w:t>l’agence de l’UE</w:t>
      </w:r>
      <w:r w:rsidRPr="00A4739A">
        <w:rPr>
          <w:lang w:val="fr-FR"/>
        </w:rPr>
        <w:t xml:space="preserve"> </w:t>
      </w:r>
      <w:r w:rsidR="004318D4" w:rsidRPr="00A4739A">
        <w:rPr>
          <w:lang w:val="fr-FR"/>
        </w:rPr>
        <w:t>(</w:t>
      </w:r>
      <w:r w:rsidR="004318D4" w:rsidRPr="00A4739A">
        <w:rPr>
          <w:vertAlign w:val="superscript"/>
          <w:lang w:val="fr-FR"/>
        </w:rPr>
        <w:t>1</w:t>
      </w:r>
      <w:r w:rsidR="00A4739A" w:rsidRPr="00A4739A">
        <w:rPr>
          <w:lang w:val="fr-FR"/>
        </w:rPr>
        <w:t>).</w:t>
      </w:r>
      <w:r w:rsidR="00975FE2">
        <w:rPr>
          <w:lang w:val="fr-FR"/>
        </w:rPr>
        <w:t xml:space="preserve"> </w:t>
      </w:r>
      <w:r w:rsidR="00A4739A" w:rsidRPr="00B42483">
        <w:rPr>
          <w:lang w:val="fr-FR"/>
        </w:rPr>
        <w:t xml:space="preserve">Les lauréats se verront remettre une récompense non pécuniaire pour leurs contributions </w:t>
      </w:r>
      <w:r w:rsidR="00F41D20">
        <w:rPr>
          <w:lang w:val="fr-FR"/>
        </w:rPr>
        <w:t>dans le cadre</w:t>
      </w:r>
      <w:r w:rsidR="00341A05" w:rsidRPr="00B42483">
        <w:rPr>
          <w:lang w:val="fr-FR"/>
        </w:rPr>
        <w:t xml:space="preserve"> de la troisième </w:t>
      </w:r>
      <w:r w:rsidR="004A6D61">
        <w:rPr>
          <w:lang w:val="fr-FR"/>
        </w:rPr>
        <w:t>édition de la</w:t>
      </w:r>
      <w:r w:rsidR="00975FE2">
        <w:rPr>
          <w:lang w:val="fr-FR"/>
        </w:rPr>
        <w:t xml:space="preserve"> «</w:t>
      </w:r>
      <w:r w:rsidR="00341A05" w:rsidRPr="00B42483">
        <w:rPr>
          <w:lang w:val="fr-FR"/>
        </w:rPr>
        <w:t xml:space="preserve">semaine </w:t>
      </w:r>
      <w:r w:rsidR="00B42483" w:rsidRPr="00B42483">
        <w:rPr>
          <w:lang w:val="fr-FR"/>
        </w:rPr>
        <w:t xml:space="preserve">du </w:t>
      </w:r>
      <w:r w:rsidR="00975FE2">
        <w:rPr>
          <w:lang w:val="fr-FR"/>
        </w:rPr>
        <w:t>Reitox</w:t>
      </w:r>
      <w:r w:rsidR="00341A05" w:rsidRPr="00B42483">
        <w:rPr>
          <w:lang w:val="fr-FR"/>
        </w:rPr>
        <w:t>»</w:t>
      </w:r>
      <w:r w:rsidR="00B42483" w:rsidRPr="00B42483">
        <w:rPr>
          <w:lang w:val="fr-FR"/>
        </w:rPr>
        <w:t>, qui rassemble des représentant</w:t>
      </w:r>
      <w:r w:rsidR="004A6D61">
        <w:rPr>
          <w:lang w:val="fr-FR"/>
        </w:rPr>
        <w:t>s</w:t>
      </w:r>
      <w:r w:rsidR="00B42483" w:rsidRPr="00B42483">
        <w:rPr>
          <w:lang w:val="fr-FR"/>
        </w:rPr>
        <w:t xml:space="preserve"> d’environ 40 observatoires nationaux des drogues (</w:t>
      </w:r>
      <w:r w:rsidR="00B42483" w:rsidRPr="00B42483">
        <w:rPr>
          <w:vertAlign w:val="superscript"/>
          <w:lang w:val="fr-FR"/>
        </w:rPr>
        <w:t>2</w:t>
      </w:r>
      <w:r w:rsidR="00B42483" w:rsidRPr="00B42483">
        <w:rPr>
          <w:lang w:val="fr-FR"/>
        </w:rPr>
        <w:t>).</w:t>
      </w:r>
    </w:p>
    <w:p w:rsidR="006404BC" w:rsidRPr="00AE0AC5" w:rsidRDefault="00ED487E" w:rsidP="00DE122F">
      <w:pPr>
        <w:pStyle w:val="newsContent"/>
        <w:rPr>
          <w:lang w:val="fr-LU"/>
        </w:rPr>
      </w:pPr>
      <w:r w:rsidRPr="00BE429F">
        <w:rPr>
          <w:lang w:val="fr-FR"/>
        </w:rPr>
        <w:t>Ce prix, inauguré en 2011 par l’</w:t>
      </w:r>
      <w:r w:rsidRPr="004A6D61">
        <w:rPr>
          <w:b/>
          <w:lang w:val="fr-FR"/>
        </w:rPr>
        <w:t>EMCDDA</w:t>
      </w:r>
      <w:r w:rsidRPr="00BE429F">
        <w:rPr>
          <w:lang w:val="fr-FR"/>
        </w:rPr>
        <w:t xml:space="preserve"> et son </w:t>
      </w:r>
      <w:r w:rsidRPr="004A6D61">
        <w:rPr>
          <w:b/>
          <w:lang w:val="fr-FR"/>
        </w:rPr>
        <w:t>comité scientifique</w:t>
      </w:r>
      <w:r w:rsidRPr="00BE429F">
        <w:rPr>
          <w:lang w:val="fr-FR"/>
        </w:rPr>
        <w:t xml:space="preserve">, rend hommage à la rédaction scientifique et distingue les travaux de recherche de </w:t>
      </w:r>
      <w:r w:rsidR="00002CCE">
        <w:rPr>
          <w:lang w:val="fr-FR"/>
        </w:rPr>
        <w:t xml:space="preserve">haute </w:t>
      </w:r>
      <w:r w:rsidRPr="00BE429F">
        <w:rPr>
          <w:lang w:val="fr-FR"/>
        </w:rPr>
        <w:t>qualité dans le domaine des drogues illicites.</w:t>
      </w:r>
      <w:r w:rsidR="007F0BD0" w:rsidRPr="00AE0AC5">
        <w:rPr>
          <w:lang w:val="fr-LU"/>
        </w:rPr>
        <w:t xml:space="preserve"> </w:t>
      </w:r>
      <w:r w:rsidR="00BE429F" w:rsidRPr="00B824D6">
        <w:rPr>
          <w:lang w:val="fr-FR"/>
        </w:rPr>
        <w:t>Cette année, 64 articles</w:t>
      </w:r>
      <w:r w:rsidR="00201F7F">
        <w:rPr>
          <w:lang w:val="fr-FR"/>
        </w:rPr>
        <w:t xml:space="preserve"> (un chiffre </w:t>
      </w:r>
      <w:r w:rsidR="00201F7F" w:rsidRPr="00B824D6">
        <w:rPr>
          <w:lang w:val="fr-FR"/>
        </w:rPr>
        <w:t>record</w:t>
      </w:r>
      <w:r w:rsidR="00201F7F">
        <w:rPr>
          <w:lang w:val="fr-FR"/>
        </w:rPr>
        <w:t>)</w:t>
      </w:r>
      <w:r w:rsidR="00BE429F" w:rsidRPr="00B824D6">
        <w:rPr>
          <w:lang w:val="fr-FR"/>
        </w:rPr>
        <w:t xml:space="preserve"> ont été </w:t>
      </w:r>
      <w:r w:rsidR="00002CCE">
        <w:rPr>
          <w:lang w:val="fr-FR"/>
        </w:rPr>
        <w:t>nominés</w:t>
      </w:r>
      <w:r w:rsidR="00002CCE" w:rsidRPr="00B824D6">
        <w:rPr>
          <w:lang w:val="fr-FR"/>
        </w:rPr>
        <w:t xml:space="preserve"> </w:t>
      </w:r>
      <w:r w:rsidR="00BE429F" w:rsidRPr="00B824D6">
        <w:rPr>
          <w:lang w:val="fr-FR"/>
        </w:rPr>
        <w:t xml:space="preserve">par les membres du comité scientifique, les points </w:t>
      </w:r>
      <w:r w:rsidR="00002CCE">
        <w:rPr>
          <w:lang w:val="fr-FR"/>
        </w:rPr>
        <w:t>focaux</w:t>
      </w:r>
      <w:r w:rsidR="00BE429F" w:rsidRPr="00B824D6">
        <w:rPr>
          <w:lang w:val="fr-FR"/>
        </w:rPr>
        <w:t xml:space="preserve"> nationaux du </w:t>
      </w:r>
      <w:r w:rsidR="00B824D6" w:rsidRPr="00B824D6">
        <w:rPr>
          <w:lang w:val="fr-FR"/>
        </w:rPr>
        <w:t xml:space="preserve">réseau </w:t>
      </w:r>
      <w:r w:rsidR="00BE429F" w:rsidRPr="00B824D6">
        <w:rPr>
          <w:lang w:val="fr-FR"/>
        </w:rPr>
        <w:t xml:space="preserve">Reitox, </w:t>
      </w:r>
      <w:r w:rsidR="00B824D6" w:rsidRPr="00B824D6">
        <w:rPr>
          <w:lang w:val="fr-FR"/>
        </w:rPr>
        <w:t xml:space="preserve">les revues européennes de recherche sur les drogues </w:t>
      </w:r>
      <w:r w:rsidR="00002CCE">
        <w:rPr>
          <w:lang w:val="fr-FR"/>
        </w:rPr>
        <w:t>à comité de lecture</w:t>
      </w:r>
      <w:r w:rsidR="00B824D6" w:rsidRPr="00B824D6">
        <w:rPr>
          <w:lang w:val="fr-FR"/>
        </w:rPr>
        <w:t xml:space="preserve"> et le personnel de l’</w:t>
      </w:r>
      <w:r w:rsidR="00B824D6" w:rsidRPr="00C06916">
        <w:rPr>
          <w:b/>
          <w:lang w:val="fr-FR"/>
        </w:rPr>
        <w:t>EMCDDA</w:t>
      </w:r>
      <w:r w:rsidR="00B824D6" w:rsidRPr="00B824D6">
        <w:rPr>
          <w:lang w:val="fr-FR"/>
        </w:rPr>
        <w:t>.</w:t>
      </w:r>
      <w:r w:rsidR="007F0BD0" w:rsidRPr="00AE0AC5">
        <w:rPr>
          <w:lang w:val="fr-LU"/>
        </w:rPr>
        <w:t xml:space="preserve"> </w:t>
      </w:r>
      <w:r w:rsidR="004D3047" w:rsidRPr="00DE122F">
        <w:rPr>
          <w:lang w:val="fr-FR"/>
        </w:rPr>
        <w:t xml:space="preserve">Le jury était composé de membres du </w:t>
      </w:r>
      <w:r w:rsidR="00C06916" w:rsidRPr="00C06916">
        <w:rPr>
          <w:b/>
          <w:lang w:val="fr-FR"/>
        </w:rPr>
        <w:t>c</w:t>
      </w:r>
      <w:r w:rsidR="004D3047" w:rsidRPr="00DE122F">
        <w:rPr>
          <w:b/>
          <w:lang w:val="fr-FR"/>
        </w:rPr>
        <w:t>omité scientifique</w:t>
      </w:r>
      <w:r w:rsidR="004D3047" w:rsidRPr="00DE122F">
        <w:rPr>
          <w:lang w:val="fr-FR"/>
        </w:rPr>
        <w:t>, de l’</w:t>
      </w:r>
      <w:r w:rsidR="004D3047" w:rsidRPr="00DE122F">
        <w:rPr>
          <w:b/>
          <w:lang w:val="fr-FR"/>
        </w:rPr>
        <w:t>International Society of Addiction Journal Editors (ISAJE)</w:t>
      </w:r>
      <w:r w:rsidR="00E052B5" w:rsidRPr="00DE122F">
        <w:rPr>
          <w:lang w:val="fr-FR"/>
        </w:rPr>
        <w:t xml:space="preserve">, d’autres </w:t>
      </w:r>
      <w:r w:rsidR="009B635F" w:rsidRPr="00B15340">
        <w:rPr>
          <w:b/>
          <w:lang w:val="fr-FR"/>
        </w:rPr>
        <w:t>chercheurs reconnus dans le domaine des drogues</w:t>
      </w:r>
      <w:r w:rsidR="009B635F" w:rsidRPr="00DE122F">
        <w:rPr>
          <w:lang w:val="fr-FR"/>
        </w:rPr>
        <w:t xml:space="preserve"> et de </w:t>
      </w:r>
      <w:r w:rsidR="00DE122F" w:rsidRPr="00DE122F">
        <w:rPr>
          <w:b/>
          <w:lang w:val="fr-FR"/>
        </w:rPr>
        <w:t xml:space="preserve">cadres </w:t>
      </w:r>
      <w:r w:rsidR="009B635F" w:rsidRPr="00DE122F">
        <w:rPr>
          <w:b/>
          <w:lang w:val="fr-FR"/>
        </w:rPr>
        <w:t>scientifiques de l’EMCDDA</w:t>
      </w:r>
      <w:r w:rsidR="00DE122F" w:rsidRPr="00DE122F">
        <w:rPr>
          <w:lang w:val="fr-FR"/>
        </w:rPr>
        <w:t>.</w:t>
      </w:r>
    </w:p>
    <w:p w:rsidR="00995662" w:rsidRPr="00974BB8" w:rsidRDefault="00DE122F" w:rsidP="003C28AA">
      <w:pPr>
        <w:pStyle w:val="newsContent"/>
        <w:rPr>
          <w:rFonts w:cs="Arial"/>
          <w:lang w:val="fr-LU"/>
        </w:rPr>
      </w:pPr>
      <w:r w:rsidRPr="00593057">
        <w:rPr>
          <w:lang w:val="fr-FR"/>
        </w:rPr>
        <w:t xml:space="preserve">Conformément aux critères de participation, tous les articles </w:t>
      </w:r>
      <w:r w:rsidR="00B71A8E" w:rsidRPr="00593057">
        <w:rPr>
          <w:lang w:val="fr-FR"/>
        </w:rPr>
        <w:t>devaient avoir été</w:t>
      </w:r>
      <w:r w:rsidRPr="00593057">
        <w:rPr>
          <w:lang w:val="fr-FR"/>
        </w:rPr>
        <w:t xml:space="preserve"> publiés </w:t>
      </w:r>
      <w:r w:rsidR="00B71A8E" w:rsidRPr="00593057">
        <w:rPr>
          <w:lang w:val="fr-FR"/>
        </w:rPr>
        <w:t xml:space="preserve">en 2013 </w:t>
      </w:r>
      <w:r w:rsidRPr="00593057">
        <w:rPr>
          <w:lang w:val="fr-FR"/>
        </w:rPr>
        <w:t xml:space="preserve">dans des revues scientifiques </w:t>
      </w:r>
      <w:r w:rsidR="00975FE2">
        <w:rPr>
          <w:lang w:val="fr-FR"/>
        </w:rPr>
        <w:t>à comité de lecture, leur auteur résidant dans</w:t>
      </w:r>
      <w:r w:rsidRPr="00593057">
        <w:rPr>
          <w:lang w:val="fr-FR"/>
        </w:rPr>
        <w:t xml:space="preserve"> un </w:t>
      </w:r>
      <w:r w:rsidRPr="00593057">
        <w:rPr>
          <w:b/>
          <w:lang w:val="fr-FR"/>
        </w:rPr>
        <w:t>État membre</w:t>
      </w:r>
      <w:r w:rsidR="00C06916">
        <w:rPr>
          <w:b/>
          <w:lang w:val="fr-FR"/>
        </w:rPr>
        <w:t xml:space="preserve"> de l’UE</w:t>
      </w:r>
      <w:r w:rsidRPr="00593057">
        <w:rPr>
          <w:b/>
          <w:lang w:val="fr-FR"/>
        </w:rPr>
        <w:t xml:space="preserve">, en Turquie </w:t>
      </w:r>
      <w:r w:rsidRPr="00C06916">
        <w:rPr>
          <w:lang w:val="fr-FR"/>
        </w:rPr>
        <w:t>ou en</w:t>
      </w:r>
      <w:r w:rsidRPr="00593057">
        <w:rPr>
          <w:b/>
          <w:lang w:val="fr-FR"/>
        </w:rPr>
        <w:t xml:space="preserve"> Norvège</w:t>
      </w:r>
      <w:r w:rsidR="00593057" w:rsidRPr="00593057">
        <w:rPr>
          <w:lang w:val="fr-FR"/>
        </w:rPr>
        <w:t xml:space="preserve"> ou </w:t>
      </w:r>
      <w:r w:rsidR="00975FE2">
        <w:rPr>
          <w:lang w:val="fr-FR"/>
        </w:rPr>
        <w:t>étant</w:t>
      </w:r>
      <w:r w:rsidR="00593057" w:rsidRPr="00593057">
        <w:rPr>
          <w:lang w:val="fr-FR"/>
        </w:rPr>
        <w:t xml:space="preserve"> ressortissant </w:t>
      </w:r>
      <w:r w:rsidR="00975FE2">
        <w:rPr>
          <w:lang w:val="fr-FR"/>
        </w:rPr>
        <w:t xml:space="preserve">de l’un </w:t>
      </w:r>
      <w:r w:rsidR="00593057" w:rsidRPr="00593057">
        <w:rPr>
          <w:lang w:val="fr-FR"/>
        </w:rPr>
        <w:t>de ces pays.</w:t>
      </w:r>
      <w:r w:rsidR="00323540" w:rsidRPr="00AE0AC5">
        <w:rPr>
          <w:lang w:val="fr-LU"/>
        </w:rPr>
        <w:t xml:space="preserve"> </w:t>
      </w:r>
      <w:r w:rsidR="000D0F61" w:rsidRPr="000D0F61">
        <w:rPr>
          <w:rFonts w:cs="Arial"/>
          <w:lang w:val="fr-FR"/>
        </w:rPr>
        <w:t xml:space="preserve">Les articles devaient porter sur </w:t>
      </w:r>
      <w:r w:rsidR="00002CCE">
        <w:rPr>
          <w:rFonts w:cs="Arial"/>
          <w:lang w:val="fr-FR"/>
        </w:rPr>
        <w:t>l’une</w:t>
      </w:r>
      <w:r w:rsidR="00974BB8">
        <w:rPr>
          <w:rFonts w:cs="Arial"/>
          <w:lang w:val="fr-FR"/>
        </w:rPr>
        <w:t xml:space="preserve"> </w:t>
      </w:r>
      <w:r w:rsidR="000D0F61" w:rsidRPr="000D0F61">
        <w:rPr>
          <w:rFonts w:cs="Arial"/>
          <w:lang w:val="fr-FR"/>
        </w:rPr>
        <w:t>des catégories suivantes</w:t>
      </w:r>
      <w:r w:rsidR="00D65909">
        <w:rPr>
          <w:rFonts w:cs="Arial"/>
          <w:lang w:val="fr-FR"/>
        </w:rPr>
        <w:t xml:space="preserve">: </w:t>
      </w:r>
      <w:r w:rsidR="00D65909">
        <w:rPr>
          <w:szCs w:val="24"/>
          <w:lang w:val="fr-FR"/>
        </w:rPr>
        <w:t xml:space="preserve">recherche fondamentale en biologie, en </w:t>
      </w:r>
      <w:r w:rsidR="00D65909" w:rsidRPr="00077BF5">
        <w:rPr>
          <w:szCs w:val="24"/>
          <w:lang w:val="fr-FR"/>
        </w:rPr>
        <w:t>neurobiologie et en sciences du comportement;</w:t>
      </w:r>
      <w:r w:rsidR="00D65909">
        <w:rPr>
          <w:szCs w:val="24"/>
          <w:lang w:val="fr-FR"/>
        </w:rPr>
        <w:t xml:space="preserve"> </w:t>
      </w:r>
      <w:r w:rsidR="00D65909" w:rsidRPr="00077BF5">
        <w:rPr>
          <w:szCs w:val="24"/>
          <w:lang w:val="fr-FR"/>
        </w:rPr>
        <w:t xml:space="preserve">recherche épidémiologique et basée sur des populations; </w:t>
      </w:r>
      <w:r w:rsidR="000D0F61" w:rsidRPr="008810E4">
        <w:rPr>
          <w:rFonts w:cs="Arial"/>
          <w:lang w:val="fr-FR"/>
        </w:rPr>
        <w:t>réduction de la d</w:t>
      </w:r>
      <w:r w:rsidR="00D65909">
        <w:rPr>
          <w:rFonts w:cs="Arial"/>
          <w:lang w:val="fr-FR"/>
        </w:rPr>
        <w:t>emande;</w:t>
      </w:r>
      <w:r w:rsidR="000D0F61" w:rsidRPr="008810E4">
        <w:rPr>
          <w:rFonts w:cs="Arial"/>
          <w:lang w:val="fr-FR"/>
        </w:rPr>
        <w:t xml:space="preserve"> politiques</w:t>
      </w:r>
      <w:r w:rsidR="00DF2FAF" w:rsidRPr="008810E4">
        <w:rPr>
          <w:rFonts w:cs="Arial"/>
          <w:lang w:val="fr-FR"/>
        </w:rPr>
        <w:t xml:space="preserve"> en matière de drogues</w:t>
      </w:r>
      <w:r w:rsidR="00D65909">
        <w:rPr>
          <w:rFonts w:cs="Arial"/>
          <w:lang w:val="fr-FR"/>
        </w:rPr>
        <w:t>;</w:t>
      </w:r>
      <w:r w:rsidR="000D0F61" w:rsidRPr="008810E4">
        <w:rPr>
          <w:rFonts w:cs="Arial"/>
          <w:lang w:val="fr-FR"/>
        </w:rPr>
        <w:t xml:space="preserve"> </w:t>
      </w:r>
      <w:r w:rsidR="008810E4" w:rsidRPr="008810E4">
        <w:rPr>
          <w:rFonts w:cs="Arial"/>
          <w:lang w:val="fr-FR"/>
        </w:rPr>
        <w:t>recherches en matière d’offre, de réduction de l’offre</w:t>
      </w:r>
      <w:r w:rsidR="000D0F61" w:rsidRPr="008810E4">
        <w:rPr>
          <w:rFonts w:cs="Arial"/>
          <w:lang w:val="fr-FR"/>
        </w:rPr>
        <w:t xml:space="preserve"> et </w:t>
      </w:r>
      <w:r w:rsidR="008810E4" w:rsidRPr="008810E4">
        <w:rPr>
          <w:rFonts w:cs="Arial"/>
          <w:lang w:val="fr-FR"/>
        </w:rPr>
        <w:t>de criminalité.</w:t>
      </w:r>
      <w:r w:rsidR="006404BC" w:rsidRPr="00AE0AC5">
        <w:rPr>
          <w:lang w:val="fr-LU"/>
        </w:rPr>
        <w:t xml:space="preserve"> </w:t>
      </w:r>
      <w:r w:rsidR="008810E4" w:rsidRPr="003C28AA">
        <w:rPr>
          <w:lang w:val="fr-FR"/>
        </w:rPr>
        <w:t xml:space="preserve">Les </w:t>
      </w:r>
      <w:r w:rsidR="00EB41F8" w:rsidRPr="003C28AA">
        <w:rPr>
          <w:lang w:val="fr-FR"/>
        </w:rPr>
        <w:t xml:space="preserve">lauréats sélectionnés pour 2014 </w:t>
      </w:r>
      <w:r w:rsidR="003C28AA" w:rsidRPr="003C28AA">
        <w:rPr>
          <w:lang w:val="fr-FR"/>
        </w:rPr>
        <w:t xml:space="preserve">(auteurs principaux) </w:t>
      </w:r>
      <w:r w:rsidR="00EB41F8" w:rsidRPr="003C28AA">
        <w:rPr>
          <w:lang w:val="fr-FR"/>
        </w:rPr>
        <w:t>sont les suivants</w:t>
      </w:r>
      <w:r w:rsidR="008109DD">
        <w:rPr>
          <w:lang w:val="fr-FR"/>
        </w:rPr>
        <w:t>:</w:t>
      </w:r>
    </w:p>
    <w:p w:rsidR="00020BB2" w:rsidRPr="006518A1" w:rsidRDefault="00020BB2" w:rsidP="00020BB2">
      <w:pPr>
        <w:pStyle w:val="newsContent"/>
        <w:numPr>
          <w:ilvl w:val="0"/>
          <w:numId w:val="9"/>
        </w:numPr>
        <w:spacing w:after="120"/>
        <w:ind w:left="284" w:right="-285" w:hanging="284"/>
        <w:rPr>
          <w:szCs w:val="20"/>
        </w:rPr>
      </w:pPr>
      <w:r w:rsidRPr="006518A1">
        <w:rPr>
          <w:szCs w:val="20"/>
          <w:lang w:val="fr-FR" w:eastAsia="en-GB"/>
        </w:rPr>
        <w:t xml:space="preserve">«Amphetamine actions at the serotonin transporter rely on the availability of phosphatidylinositol-4,5-bisphosphate» (2013), auteur principal </w:t>
      </w:r>
      <w:r w:rsidRPr="006518A1">
        <w:rPr>
          <w:b/>
          <w:szCs w:val="20"/>
          <w:lang w:val="fr-FR" w:eastAsia="en-GB"/>
        </w:rPr>
        <w:t>Dr</w:t>
      </w:r>
      <w:r w:rsidRPr="006518A1">
        <w:rPr>
          <w:szCs w:val="20"/>
          <w:lang w:val="fr-FR" w:eastAsia="en-GB"/>
        </w:rPr>
        <w:t xml:space="preserve"> </w:t>
      </w:r>
      <w:r w:rsidRPr="006518A1">
        <w:rPr>
          <w:b/>
          <w:szCs w:val="20"/>
          <w:lang w:val="fr-FR"/>
        </w:rPr>
        <w:t xml:space="preserve">Florian Buchmayer </w:t>
      </w:r>
      <w:r w:rsidRPr="006518A1">
        <w:rPr>
          <w:szCs w:val="20"/>
          <w:lang w:val="fr-FR"/>
        </w:rPr>
        <w:t>(Autriche, représenté à la cérémonie par le professeur Harald H. Sitte</w:t>
      </w:r>
      <w:r w:rsidR="00A556DD">
        <w:rPr>
          <w:szCs w:val="20"/>
          <w:lang w:val="fr-FR"/>
        </w:rPr>
        <w:t xml:space="preserve">, </w:t>
      </w:r>
      <w:r w:rsidR="00A556DD" w:rsidRPr="006518A1">
        <w:rPr>
          <w:szCs w:val="20"/>
          <w:lang w:val="fr-FR"/>
        </w:rPr>
        <w:t>co-auteur</w:t>
      </w:r>
      <w:r w:rsidRPr="006518A1">
        <w:rPr>
          <w:szCs w:val="20"/>
          <w:lang w:val="fr-FR"/>
        </w:rPr>
        <w:t>).</w:t>
      </w:r>
      <w:r w:rsidRPr="006518A1">
        <w:rPr>
          <w:szCs w:val="20"/>
          <w:lang w:val="fr-LU"/>
        </w:rPr>
        <w:t xml:space="preserve"> </w:t>
      </w:r>
      <w:r w:rsidRPr="006518A1">
        <w:rPr>
          <w:szCs w:val="20"/>
          <w:lang w:val="en-US"/>
        </w:rPr>
        <w:t xml:space="preserve">Publié dans </w:t>
      </w:r>
      <w:r w:rsidRPr="006518A1">
        <w:rPr>
          <w:i/>
          <w:szCs w:val="20"/>
          <w:lang w:val="en-US"/>
        </w:rPr>
        <w:t>Proceedings of the National Academy of Sciences of the United States of America</w:t>
      </w:r>
      <w:r w:rsidRPr="006518A1">
        <w:rPr>
          <w:szCs w:val="20"/>
          <w:lang w:val="en-US"/>
        </w:rPr>
        <w:t>, 110, 28, p.</w:t>
      </w:r>
      <w:r w:rsidR="00524625">
        <w:rPr>
          <w:szCs w:val="20"/>
          <w:lang w:val="en-US"/>
        </w:rPr>
        <w:t xml:space="preserve"> </w:t>
      </w:r>
      <w:r w:rsidRPr="006518A1">
        <w:rPr>
          <w:szCs w:val="20"/>
          <w:lang w:val="en-US"/>
        </w:rPr>
        <w:t>11642–47.</w:t>
      </w:r>
    </w:p>
    <w:p w:rsidR="00995662" w:rsidRPr="006518A1" w:rsidRDefault="00D65909" w:rsidP="00D4067C">
      <w:pPr>
        <w:pStyle w:val="newsContent"/>
        <w:numPr>
          <w:ilvl w:val="0"/>
          <w:numId w:val="9"/>
        </w:numPr>
        <w:spacing w:after="120"/>
        <w:ind w:left="284" w:right="-285" w:hanging="284"/>
        <w:rPr>
          <w:szCs w:val="20"/>
          <w:lang w:eastAsia="en-GB"/>
        </w:rPr>
      </w:pPr>
      <w:r w:rsidRPr="006518A1">
        <w:rPr>
          <w:szCs w:val="20"/>
          <w:lang w:val="en-US" w:eastAsia="en-GB"/>
        </w:rPr>
        <w:t>«</w:t>
      </w:r>
      <w:r w:rsidR="00440F39" w:rsidRPr="006518A1">
        <w:rPr>
          <w:szCs w:val="20"/>
          <w:lang w:val="en-US" w:eastAsia="en-GB"/>
        </w:rPr>
        <w:t>Substance use disorders in adolescents with attention deficit hyperactivity disorder:</w:t>
      </w:r>
      <w:r w:rsidR="006066EB" w:rsidRPr="006518A1">
        <w:rPr>
          <w:szCs w:val="20"/>
          <w:lang w:eastAsia="en-GB"/>
        </w:rPr>
        <w:t xml:space="preserve"> </w:t>
      </w:r>
      <w:r w:rsidR="00440F39" w:rsidRPr="006518A1">
        <w:rPr>
          <w:szCs w:val="20"/>
          <w:lang w:val="en-US" w:eastAsia="en-GB"/>
        </w:rPr>
        <w:t>a 4-year follow-up study</w:t>
      </w:r>
      <w:r w:rsidRPr="006518A1">
        <w:rPr>
          <w:szCs w:val="20"/>
          <w:lang w:val="en-US" w:eastAsia="en-GB"/>
        </w:rPr>
        <w:t>»</w:t>
      </w:r>
      <w:r w:rsidR="00440F39" w:rsidRPr="006518A1">
        <w:rPr>
          <w:szCs w:val="20"/>
          <w:lang w:val="en-US" w:eastAsia="en-GB"/>
        </w:rPr>
        <w:t xml:space="preserve"> (2013), auteur principal </w:t>
      </w:r>
      <w:r w:rsidR="00440F39" w:rsidRPr="006518A1">
        <w:rPr>
          <w:b/>
          <w:szCs w:val="20"/>
          <w:lang w:val="en-US"/>
        </w:rPr>
        <w:t>Annabeth Groenman</w:t>
      </w:r>
      <w:r w:rsidR="00020BB2" w:rsidRPr="006518A1">
        <w:rPr>
          <w:b/>
          <w:szCs w:val="20"/>
          <w:lang w:val="en-US"/>
        </w:rPr>
        <w:t>, MSc</w:t>
      </w:r>
      <w:r w:rsidR="00440F39" w:rsidRPr="006518A1">
        <w:rPr>
          <w:szCs w:val="20"/>
          <w:lang w:val="en-US"/>
        </w:rPr>
        <w:t xml:space="preserve"> (Pays-Bas).</w:t>
      </w:r>
      <w:r w:rsidR="006066EB" w:rsidRPr="006518A1">
        <w:rPr>
          <w:szCs w:val="20"/>
          <w:lang w:eastAsia="zh-CN"/>
        </w:rPr>
        <w:t xml:space="preserve"> </w:t>
      </w:r>
      <w:r w:rsidR="00511FBA" w:rsidRPr="006518A1">
        <w:rPr>
          <w:szCs w:val="20"/>
          <w:lang w:val="en-US" w:eastAsia="zh-CN"/>
        </w:rPr>
        <w:t xml:space="preserve">Publié dans </w:t>
      </w:r>
      <w:r w:rsidR="00511FBA" w:rsidRPr="006518A1">
        <w:rPr>
          <w:i/>
          <w:szCs w:val="20"/>
          <w:lang w:val="en-US" w:eastAsia="zh-CN"/>
        </w:rPr>
        <w:t>Addiction</w:t>
      </w:r>
      <w:r w:rsidR="00511FBA" w:rsidRPr="006518A1">
        <w:rPr>
          <w:szCs w:val="20"/>
          <w:lang w:val="en-US" w:eastAsia="zh-CN"/>
        </w:rPr>
        <w:t xml:space="preserve">, 108, 8, </w:t>
      </w:r>
      <w:r w:rsidR="00524625">
        <w:rPr>
          <w:szCs w:val="20"/>
          <w:lang w:val="en-US" w:eastAsia="zh-CN"/>
        </w:rPr>
        <w:t xml:space="preserve">       </w:t>
      </w:r>
      <w:r w:rsidR="00511FBA" w:rsidRPr="006518A1">
        <w:rPr>
          <w:szCs w:val="20"/>
          <w:lang w:val="en-US" w:eastAsia="zh-CN"/>
        </w:rPr>
        <w:t>p.</w:t>
      </w:r>
      <w:r w:rsidR="00AD0D74" w:rsidRPr="006518A1">
        <w:rPr>
          <w:szCs w:val="20"/>
          <w:lang w:val="en-US" w:eastAsia="zh-CN"/>
        </w:rPr>
        <w:t xml:space="preserve"> </w:t>
      </w:r>
      <w:r w:rsidR="00511FBA" w:rsidRPr="006518A1">
        <w:rPr>
          <w:szCs w:val="20"/>
          <w:lang w:val="en-US" w:eastAsia="zh-CN"/>
        </w:rPr>
        <w:t>1503–11.</w:t>
      </w:r>
    </w:p>
    <w:p w:rsidR="00020BB2" w:rsidRPr="006518A1" w:rsidRDefault="00020BB2" w:rsidP="00D4067C">
      <w:pPr>
        <w:pStyle w:val="newsContent"/>
        <w:numPr>
          <w:ilvl w:val="0"/>
          <w:numId w:val="9"/>
        </w:numPr>
        <w:spacing w:after="120"/>
        <w:ind w:left="284" w:right="-285" w:hanging="284"/>
        <w:rPr>
          <w:bCs/>
          <w:kern w:val="36"/>
          <w:szCs w:val="20"/>
          <w:lang w:val="fr-LU" w:eastAsia="en-GB"/>
        </w:rPr>
      </w:pPr>
      <w:r w:rsidRPr="006518A1">
        <w:rPr>
          <w:szCs w:val="20"/>
          <w:lang w:val="en-US" w:eastAsia="en-GB"/>
        </w:rPr>
        <w:t>«Defining substance use disorders:</w:t>
      </w:r>
      <w:r w:rsidRPr="006518A1">
        <w:rPr>
          <w:szCs w:val="20"/>
          <w:lang w:eastAsia="en-GB"/>
        </w:rPr>
        <w:t xml:space="preserve"> </w:t>
      </w:r>
      <w:r w:rsidRPr="006518A1">
        <w:rPr>
          <w:szCs w:val="20"/>
          <w:lang w:val="en-US" w:eastAsia="en-GB"/>
        </w:rPr>
        <w:t>do we really need more than heavy use</w:t>
      </w:r>
      <w:proofErr w:type="gramStart"/>
      <w:r w:rsidRPr="006518A1">
        <w:rPr>
          <w:szCs w:val="20"/>
          <w:lang w:val="en-US" w:eastAsia="en-GB"/>
        </w:rPr>
        <w:t>?»</w:t>
      </w:r>
      <w:proofErr w:type="gramEnd"/>
      <w:r w:rsidRPr="006518A1">
        <w:rPr>
          <w:szCs w:val="20"/>
          <w:lang w:eastAsia="en-GB"/>
        </w:rPr>
        <w:t xml:space="preserve"> </w:t>
      </w:r>
      <w:r w:rsidRPr="006518A1">
        <w:rPr>
          <w:szCs w:val="20"/>
          <w:lang w:val="fr-FR" w:eastAsia="en-GB"/>
        </w:rPr>
        <w:t xml:space="preserve">(2013), </w:t>
      </w:r>
      <w:r w:rsidRPr="006518A1">
        <w:rPr>
          <w:rFonts w:cs="Arial"/>
          <w:szCs w:val="20"/>
          <w:lang w:val="fr-FR" w:eastAsia="en-GB"/>
        </w:rPr>
        <w:t>auteur principal</w:t>
      </w:r>
      <w:r w:rsidRPr="006518A1">
        <w:rPr>
          <w:szCs w:val="20"/>
          <w:lang w:val="fr-LU" w:eastAsia="en-GB"/>
        </w:rPr>
        <w:t xml:space="preserve">              </w:t>
      </w:r>
      <w:r w:rsidRPr="006518A1">
        <w:rPr>
          <w:b/>
          <w:szCs w:val="20"/>
          <w:lang w:val="fr-LU" w:eastAsia="en-GB"/>
        </w:rPr>
        <w:t>Prof</w:t>
      </w:r>
      <w:r w:rsidR="00F24ADE" w:rsidRPr="006518A1">
        <w:rPr>
          <w:b/>
          <w:szCs w:val="20"/>
          <w:lang w:val="fr-LU" w:eastAsia="en-GB"/>
        </w:rPr>
        <w:t>esseur</w:t>
      </w:r>
      <w:r w:rsidRPr="006518A1">
        <w:rPr>
          <w:szCs w:val="20"/>
          <w:lang w:val="fr-LU" w:eastAsia="en-GB"/>
        </w:rPr>
        <w:t xml:space="preserve"> </w:t>
      </w:r>
      <w:r w:rsidRPr="006518A1">
        <w:rPr>
          <w:b/>
          <w:szCs w:val="20"/>
          <w:lang w:val="fr-FR"/>
        </w:rPr>
        <w:t>Jürgen Rehm, PhD</w:t>
      </w:r>
      <w:r w:rsidRPr="006518A1">
        <w:rPr>
          <w:szCs w:val="20"/>
          <w:lang w:val="fr-FR"/>
        </w:rPr>
        <w:t xml:space="preserve"> (Allemagne).</w:t>
      </w:r>
      <w:r w:rsidRPr="006518A1">
        <w:rPr>
          <w:szCs w:val="20"/>
          <w:lang w:val="fr-LU"/>
        </w:rPr>
        <w:t xml:space="preserve"> </w:t>
      </w:r>
      <w:r w:rsidRPr="006518A1">
        <w:rPr>
          <w:szCs w:val="20"/>
          <w:lang w:val="fr-FR"/>
        </w:rPr>
        <w:t xml:space="preserve">Publié dans </w:t>
      </w:r>
      <w:r w:rsidRPr="006518A1">
        <w:rPr>
          <w:i/>
          <w:szCs w:val="20"/>
          <w:lang w:val="fr-FR"/>
        </w:rPr>
        <w:t>Alcohol and Alcoholism</w:t>
      </w:r>
      <w:r w:rsidRPr="006518A1">
        <w:rPr>
          <w:szCs w:val="20"/>
          <w:lang w:val="fr-FR"/>
        </w:rPr>
        <w:t>, 48, 6, p.</w:t>
      </w:r>
      <w:r w:rsidR="00AD0D74" w:rsidRPr="006518A1">
        <w:rPr>
          <w:szCs w:val="20"/>
          <w:lang w:val="fr-FR"/>
        </w:rPr>
        <w:t xml:space="preserve"> </w:t>
      </w:r>
      <w:r w:rsidRPr="006518A1">
        <w:rPr>
          <w:szCs w:val="20"/>
          <w:lang w:val="fr-FR"/>
        </w:rPr>
        <w:t>633–64.</w:t>
      </w:r>
    </w:p>
    <w:p w:rsidR="00054FA6" w:rsidRPr="006518A1" w:rsidRDefault="00D65909" w:rsidP="000124DC">
      <w:pPr>
        <w:pStyle w:val="newsContent"/>
        <w:numPr>
          <w:ilvl w:val="0"/>
          <w:numId w:val="9"/>
        </w:numPr>
        <w:ind w:left="284" w:right="-285" w:hanging="284"/>
        <w:rPr>
          <w:bCs/>
          <w:kern w:val="36"/>
          <w:szCs w:val="20"/>
          <w:lang w:val="fr-LU" w:eastAsia="en-GB"/>
        </w:rPr>
      </w:pPr>
      <w:r w:rsidRPr="006518A1">
        <w:rPr>
          <w:szCs w:val="20"/>
          <w:lang w:val="fr-FR" w:eastAsia="en-GB"/>
        </w:rPr>
        <w:t>«</w:t>
      </w:r>
      <w:r w:rsidR="00511FBA" w:rsidRPr="006518A1">
        <w:rPr>
          <w:szCs w:val="20"/>
          <w:lang w:val="fr-FR" w:eastAsia="en-GB"/>
        </w:rPr>
        <w:t>Building a European consensus on minimum quality standards for drug treatment, rehabilitation and harm reduction</w:t>
      </w:r>
      <w:r w:rsidRPr="006518A1">
        <w:rPr>
          <w:szCs w:val="20"/>
          <w:lang w:val="fr-FR" w:eastAsia="en-GB"/>
        </w:rPr>
        <w:t>»</w:t>
      </w:r>
      <w:r w:rsidR="00511FBA" w:rsidRPr="006518A1">
        <w:rPr>
          <w:szCs w:val="20"/>
          <w:lang w:val="fr-FR" w:eastAsia="en-GB"/>
        </w:rPr>
        <w:t xml:space="preserve"> (2013), auteur principal </w:t>
      </w:r>
      <w:r w:rsidR="00020BB2" w:rsidRPr="006518A1">
        <w:rPr>
          <w:b/>
          <w:szCs w:val="20"/>
          <w:lang w:val="fr-FR" w:eastAsia="en-GB"/>
        </w:rPr>
        <w:t>Dr</w:t>
      </w:r>
      <w:r w:rsidR="00020BB2" w:rsidRPr="006518A1">
        <w:rPr>
          <w:szCs w:val="20"/>
          <w:lang w:val="fr-FR" w:eastAsia="en-GB"/>
        </w:rPr>
        <w:t xml:space="preserve"> </w:t>
      </w:r>
      <w:r w:rsidR="00511FBA" w:rsidRPr="006518A1">
        <w:rPr>
          <w:b/>
          <w:szCs w:val="20"/>
          <w:lang w:val="fr-FR"/>
        </w:rPr>
        <w:t xml:space="preserve">Michael P. Schaub </w:t>
      </w:r>
      <w:r w:rsidR="00511FBA" w:rsidRPr="006518A1">
        <w:rPr>
          <w:szCs w:val="20"/>
          <w:lang w:val="fr-FR"/>
        </w:rPr>
        <w:t>(</w:t>
      </w:r>
      <w:r w:rsidR="007864CF" w:rsidRPr="006518A1">
        <w:rPr>
          <w:szCs w:val="20"/>
          <w:lang w:val="fr-FR"/>
        </w:rPr>
        <w:t>pour un article écrit dans le cadre d’</w:t>
      </w:r>
      <w:r w:rsidR="00511FBA" w:rsidRPr="006518A1">
        <w:rPr>
          <w:szCs w:val="20"/>
          <w:lang w:val="fr-FR"/>
        </w:rPr>
        <w:t xml:space="preserve">EQUS, </w:t>
      </w:r>
      <w:r w:rsidR="007864CF" w:rsidRPr="006518A1">
        <w:rPr>
          <w:szCs w:val="20"/>
          <w:lang w:val="fr-FR"/>
        </w:rPr>
        <w:t>un projet financé par la CE</w:t>
      </w:r>
      <w:proofErr w:type="gramStart"/>
      <w:r w:rsidR="00511FBA" w:rsidRPr="006518A1">
        <w:rPr>
          <w:szCs w:val="20"/>
          <w:lang w:val="fr-FR"/>
        </w:rPr>
        <w:t>)</w:t>
      </w:r>
      <w:r w:rsidR="007864CF" w:rsidRPr="006518A1">
        <w:rPr>
          <w:rFonts w:cs="Arial"/>
          <w:szCs w:val="20"/>
          <w:lang w:val="fr-FR"/>
        </w:rPr>
        <w:t>(</w:t>
      </w:r>
      <w:proofErr w:type="gramEnd"/>
      <w:r w:rsidR="007864CF" w:rsidRPr="006518A1">
        <w:rPr>
          <w:rFonts w:cs="Arial"/>
          <w:szCs w:val="20"/>
          <w:vertAlign w:val="superscript"/>
          <w:lang w:val="fr-FR"/>
        </w:rPr>
        <w:t>3</w:t>
      </w:r>
      <w:r w:rsidR="007864CF" w:rsidRPr="006518A1">
        <w:rPr>
          <w:rFonts w:cs="Arial"/>
          <w:szCs w:val="20"/>
          <w:lang w:val="fr-FR"/>
        </w:rPr>
        <w:t>)</w:t>
      </w:r>
      <w:r w:rsidR="007864CF" w:rsidRPr="006518A1">
        <w:rPr>
          <w:szCs w:val="20"/>
          <w:lang w:val="fr-FR"/>
        </w:rPr>
        <w:t>. Publié dans</w:t>
      </w:r>
      <w:r w:rsidR="00511FBA" w:rsidRPr="006518A1">
        <w:rPr>
          <w:b/>
          <w:szCs w:val="20"/>
          <w:lang w:val="fr-FR"/>
        </w:rPr>
        <w:t xml:space="preserve"> </w:t>
      </w:r>
      <w:r w:rsidR="00511FBA" w:rsidRPr="006518A1">
        <w:rPr>
          <w:i/>
          <w:szCs w:val="20"/>
          <w:lang w:val="fr-FR" w:eastAsia="en-GB"/>
        </w:rPr>
        <w:t>European Addiction Research</w:t>
      </w:r>
      <w:r w:rsidR="00511FBA" w:rsidRPr="006518A1">
        <w:rPr>
          <w:szCs w:val="20"/>
          <w:lang w:val="fr-FR" w:eastAsia="en-GB"/>
        </w:rPr>
        <w:t>, 19, 6, p. 314–24.</w:t>
      </w:r>
    </w:p>
    <w:p w:rsidR="000124DC" w:rsidRDefault="00002CCE" w:rsidP="000124DC">
      <w:pPr>
        <w:pStyle w:val="newsContent"/>
        <w:rPr>
          <w:rFonts w:cs="Arial"/>
          <w:szCs w:val="20"/>
          <w:lang w:val="fr-FR"/>
        </w:rPr>
      </w:pPr>
      <w:r w:rsidRPr="00F24ADE">
        <w:rPr>
          <w:rFonts w:cs="Arial"/>
          <w:b/>
          <w:szCs w:val="20"/>
          <w:lang w:val="fr-FR"/>
        </w:rPr>
        <w:t xml:space="preserve">Professeur </w:t>
      </w:r>
      <w:r w:rsidR="008E6083" w:rsidRPr="00F24ADE">
        <w:rPr>
          <w:rFonts w:cs="Arial"/>
          <w:b/>
          <w:szCs w:val="20"/>
          <w:lang w:val="fr-FR"/>
        </w:rPr>
        <w:t>Gerhard Bühringer,</w:t>
      </w:r>
      <w:r w:rsidR="008E6083" w:rsidRPr="00FE613B">
        <w:rPr>
          <w:rFonts w:cs="Arial"/>
          <w:b/>
          <w:szCs w:val="20"/>
          <w:lang w:val="fr-FR"/>
        </w:rPr>
        <w:t xml:space="preserve"> </w:t>
      </w:r>
      <w:r w:rsidR="00D34A9E" w:rsidRPr="00FE613B">
        <w:rPr>
          <w:rFonts w:cs="Arial"/>
          <w:b/>
          <w:szCs w:val="20"/>
          <w:lang w:val="fr-FR"/>
        </w:rPr>
        <w:t>président du comité</w:t>
      </w:r>
      <w:r w:rsidR="00FE613B" w:rsidRPr="00FE613B">
        <w:rPr>
          <w:rFonts w:cs="Arial"/>
          <w:b/>
          <w:szCs w:val="20"/>
          <w:lang w:val="fr-FR"/>
        </w:rPr>
        <w:t xml:space="preserve"> scientifique de l’EMCDDA</w:t>
      </w:r>
      <w:r w:rsidR="00FE613B" w:rsidRPr="00AD0D74">
        <w:rPr>
          <w:rFonts w:cs="Arial"/>
          <w:szCs w:val="20"/>
          <w:lang w:val="fr-FR"/>
        </w:rPr>
        <w:t xml:space="preserve">, </w:t>
      </w:r>
      <w:r w:rsidR="008E6083" w:rsidRPr="00AD0D74">
        <w:rPr>
          <w:rFonts w:cs="Arial"/>
          <w:szCs w:val="20"/>
          <w:lang w:val="fr-FR"/>
        </w:rPr>
        <w:t>a déclaré</w:t>
      </w:r>
      <w:r w:rsidR="008109DD" w:rsidRPr="00AD0D74">
        <w:rPr>
          <w:rFonts w:cs="Arial"/>
          <w:szCs w:val="20"/>
          <w:lang w:val="fr-FR"/>
        </w:rPr>
        <w:t>:</w:t>
      </w:r>
      <w:r w:rsidR="006404BC" w:rsidRPr="00AE0AC5">
        <w:rPr>
          <w:rFonts w:cs="Arial"/>
          <w:szCs w:val="20"/>
          <w:lang w:val="fr-LU"/>
        </w:rPr>
        <w:t xml:space="preserve"> </w:t>
      </w:r>
      <w:r w:rsidR="008E6083">
        <w:rPr>
          <w:rFonts w:cs="Arial"/>
          <w:szCs w:val="20"/>
          <w:lang w:val="fr-LU"/>
        </w:rPr>
        <w:t>«</w:t>
      </w:r>
      <w:r w:rsidR="00507272" w:rsidRPr="000B0723">
        <w:rPr>
          <w:rFonts w:cs="Arial"/>
          <w:szCs w:val="20"/>
          <w:lang w:val="fr-FR"/>
        </w:rPr>
        <w:t>Le prix de la rédaction scientifique de l’EMCDDA favorise l’excellence</w:t>
      </w:r>
      <w:r w:rsidR="00AC4AB9" w:rsidRPr="000B0723">
        <w:rPr>
          <w:rFonts w:cs="Arial"/>
          <w:szCs w:val="20"/>
          <w:lang w:val="fr-FR"/>
        </w:rPr>
        <w:t xml:space="preserve"> en matière de publications </w:t>
      </w:r>
      <w:r w:rsidR="00F24ADE">
        <w:rPr>
          <w:rFonts w:cs="Arial"/>
          <w:szCs w:val="20"/>
          <w:lang w:val="fr-FR"/>
        </w:rPr>
        <w:t>académiques</w:t>
      </w:r>
      <w:r w:rsidR="00AC4AB9" w:rsidRPr="000B0723">
        <w:rPr>
          <w:rFonts w:cs="Arial"/>
          <w:szCs w:val="20"/>
          <w:lang w:val="fr-FR"/>
        </w:rPr>
        <w:t xml:space="preserve"> </w:t>
      </w:r>
    </w:p>
    <w:p w:rsidR="00995662" w:rsidRPr="00AE0AC5" w:rsidRDefault="00AC4AB9" w:rsidP="00EF7F25">
      <w:pPr>
        <w:pStyle w:val="newsContent"/>
        <w:rPr>
          <w:lang w:val="fr-LU"/>
        </w:rPr>
      </w:pPr>
      <w:r w:rsidRPr="000B0723">
        <w:rPr>
          <w:rFonts w:cs="Arial"/>
          <w:szCs w:val="20"/>
          <w:lang w:val="fr-FR"/>
        </w:rPr>
        <w:lastRenderedPageBreak/>
        <w:t>et soutient les avancées</w:t>
      </w:r>
      <w:r w:rsidR="009F4874">
        <w:rPr>
          <w:rFonts w:cs="Arial"/>
          <w:szCs w:val="20"/>
          <w:lang w:val="fr-FR"/>
        </w:rPr>
        <w:t xml:space="preserve"> majeures</w:t>
      </w:r>
      <w:r w:rsidRPr="000B0723">
        <w:rPr>
          <w:rFonts w:cs="Arial"/>
          <w:szCs w:val="20"/>
          <w:lang w:val="fr-FR"/>
        </w:rPr>
        <w:t xml:space="preserve"> dans le domaine des drogues, contribuant ainsi </w:t>
      </w:r>
      <w:r w:rsidR="009F4874">
        <w:rPr>
          <w:rFonts w:cs="Arial"/>
          <w:szCs w:val="20"/>
          <w:lang w:val="fr-FR"/>
        </w:rPr>
        <w:t>à l’amélioration</w:t>
      </w:r>
      <w:r w:rsidRPr="000B0723">
        <w:rPr>
          <w:rFonts w:cs="Arial"/>
          <w:szCs w:val="20"/>
          <w:lang w:val="fr-FR"/>
        </w:rPr>
        <w:t xml:space="preserve"> des politiques et des pratiques.</w:t>
      </w:r>
      <w:r w:rsidR="006404BC" w:rsidRPr="00AE0AC5">
        <w:rPr>
          <w:rFonts w:cs="Arial"/>
          <w:szCs w:val="20"/>
          <w:lang w:val="fr-LU"/>
        </w:rPr>
        <w:t xml:space="preserve"> </w:t>
      </w:r>
      <w:r w:rsidR="000B0723" w:rsidRPr="00EF7F25">
        <w:rPr>
          <w:rFonts w:cs="Arial"/>
          <w:szCs w:val="20"/>
          <w:lang w:val="fr-FR"/>
        </w:rPr>
        <w:t>Le nombre croissant de</w:t>
      </w:r>
      <w:r w:rsidR="009F4874">
        <w:rPr>
          <w:rFonts w:cs="Arial"/>
          <w:szCs w:val="20"/>
          <w:lang w:val="fr-FR"/>
        </w:rPr>
        <w:t xml:space="preserve"> nominations</w:t>
      </w:r>
      <w:r w:rsidR="000B0723" w:rsidRPr="00EF7F25">
        <w:rPr>
          <w:rFonts w:cs="Arial"/>
          <w:szCs w:val="20"/>
          <w:lang w:val="fr-FR"/>
        </w:rPr>
        <w:t xml:space="preserve"> pour le prix,</w:t>
      </w:r>
      <w:r w:rsidR="00BE654E" w:rsidRPr="00EF7F25">
        <w:rPr>
          <w:rFonts w:cs="Arial"/>
          <w:szCs w:val="20"/>
          <w:lang w:val="fr-FR"/>
        </w:rPr>
        <w:t xml:space="preserve"> </w:t>
      </w:r>
      <w:r w:rsidR="009F4874">
        <w:rPr>
          <w:rFonts w:cs="Arial"/>
          <w:szCs w:val="20"/>
          <w:lang w:val="fr-FR"/>
        </w:rPr>
        <w:t>dans</w:t>
      </w:r>
      <w:r w:rsidR="00BE654E" w:rsidRPr="00EF7F25">
        <w:rPr>
          <w:rFonts w:cs="Arial"/>
          <w:szCs w:val="20"/>
          <w:lang w:val="fr-FR"/>
        </w:rPr>
        <w:t xml:space="preserve"> </w:t>
      </w:r>
      <w:r w:rsidR="008244FC">
        <w:rPr>
          <w:rFonts w:cs="Arial"/>
          <w:szCs w:val="20"/>
          <w:lang w:val="fr-FR"/>
        </w:rPr>
        <w:t>toute</w:t>
      </w:r>
      <w:r w:rsidR="00BE654E" w:rsidRPr="00EF7F25">
        <w:rPr>
          <w:rFonts w:cs="Arial"/>
          <w:szCs w:val="20"/>
          <w:lang w:val="fr-FR"/>
        </w:rPr>
        <w:t xml:space="preserve"> l’Europe, réaffirme sa </w:t>
      </w:r>
      <w:r w:rsidR="009F4874">
        <w:rPr>
          <w:rFonts w:cs="Arial"/>
          <w:szCs w:val="20"/>
          <w:lang w:val="fr-FR"/>
        </w:rPr>
        <w:t xml:space="preserve">haute </w:t>
      </w:r>
      <w:r w:rsidR="00BE654E" w:rsidRPr="00EF7F25">
        <w:rPr>
          <w:rFonts w:cs="Arial"/>
          <w:szCs w:val="20"/>
          <w:lang w:val="fr-FR"/>
        </w:rPr>
        <w:t>renommée</w:t>
      </w:r>
      <w:r w:rsidR="00EF7F25" w:rsidRPr="00EF7F25">
        <w:rPr>
          <w:rFonts w:cs="Arial"/>
          <w:szCs w:val="20"/>
          <w:lang w:val="fr-FR"/>
        </w:rPr>
        <w:t xml:space="preserve"> et le rôle de l’EMCDDA et de son comité scientifique dans la promotion de la recherche sur ce</w:t>
      </w:r>
      <w:r w:rsidR="009F4874">
        <w:rPr>
          <w:rFonts w:cs="Arial"/>
          <w:szCs w:val="20"/>
          <w:lang w:val="fr-FR"/>
        </w:rPr>
        <w:t>tte question</w:t>
      </w:r>
      <w:r w:rsidR="00EF7F25" w:rsidRPr="00EF7F25">
        <w:rPr>
          <w:rFonts w:cs="Arial"/>
          <w:szCs w:val="20"/>
          <w:lang w:val="fr-FR"/>
        </w:rPr>
        <w:t xml:space="preserve"> important</w:t>
      </w:r>
      <w:r w:rsidR="00002CCE">
        <w:rPr>
          <w:rFonts w:cs="Arial"/>
          <w:szCs w:val="20"/>
          <w:lang w:val="fr-FR"/>
        </w:rPr>
        <w:t>e</w:t>
      </w:r>
      <w:r w:rsidR="00D65909">
        <w:rPr>
          <w:rFonts w:cs="Arial"/>
          <w:szCs w:val="20"/>
          <w:lang w:val="fr-FR"/>
        </w:rPr>
        <w:t>»</w:t>
      </w:r>
      <w:r w:rsidR="00EF7F25" w:rsidRPr="00EF7F25">
        <w:rPr>
          <w:rFonts w:cs="Arial"/>
          <w:szCs w:val="20"/>
          <w:lang w:val="fr-FR"/>
        </w:rPr>
        <w:t>.</w:t>
      </w:r>
    </w:p>
    <w:p w:rsidR="00995662" w:rsidRPr="00AE0AC5" w:rsidRDefault="00EF7F25" w:rsidP="00E7436F">
      <w:pPr>
        <w:pStyle w:val="newsContent"/>
        <w:spacing w:after="120" w:line="240" w:lineRule="auto"/>
        <w:rPr>
          <w:b/>
          <w:lang w:val="fr-LU"/>
        </w:rPr>
      </w:pPr>
      <w:r w:rsidRPr="00EF7F25">
        <w:rPr>
          <w:b/>
          <w:lang w:val="fr-FR"/>
        </w:rPr>
        <w:t>Cérémonie</w:t>
      </w:r>
      <w:r w:rsidR="008109DD">
        <w:rPr>
          <w:b/>
          <w:lang w:val="fr-FR"/>
        </w:rPr>
        <w:t>:</w:t>
      </w:r>
      <w:r w:rsidR="0090401B" w:rsidRPr="00AE0AC5">
        <w:rPr>
          <w:lang w:val="fr-LU"/>
        </w:rPr>
        <w:t xml:space="preserve"> </w:t>
      </w:r>
      <w:r w:rsidRPr="00550E60">
        <w:rPr>
          <w:lang w:val="fr-FR"/>
        </w:rPr>
        <w:t>17</w:t>
      </w:r>
      <w:r w:rsidR="00550E60" w:rsidRPr="00550E60">
        <w:rPr>
          <w:lang w:val="fr-FR"/>
        </w:rPr>
        <w:t xml:space="preserve"> h à </w:t>
      </w:r>
      <w:r w:rsidRPr="00550E60">
        <w:rPr>
          <w:lang w:val="fr-FR"/>
        </w:rPr>
        <w:t>19</w:t>
      </w:r>
      <w:r w:rsidR="00550E60" w:rsidRPr="00550E60">
        <w:rPr>
          <w:lang w:val="fr-FR"/>
        </w:rPr>
        <w:t xml:space="preserve"> h</w:t>
      </w:r>
      <w:r w:rsidRPr="00550E60">
        <w:rPr>
          <w:lang w:val="fr-FR"/>
        </w:rPr>
        <w:t xml:space="preserve"> — </w:t>
      </w:r>
      <w:r w:rsidR="00550E60" w:rsidRPr="00550E60">
        <w:rPr>
          <w:lang w:val="fr-FR"/>
        </w:rPr>
        <w:t>Mardi</w:t>
      </w:r>
      <w:r w:rsidRPr="00550E60">
        <w:rPr>
          <w:lang w:val="fr-FR"/>
        </w:rPr>
        <w:t xml:space="preserve"> 25 </w:t>
      </w:r>
      <w:r w:rsidR="00550E60" w:rsidRPr="00550E60">
        <w:rPr>
          <w:lang w:val="fr-FR"/>
        </w:rPr>
        <w:t>n</w:t>
      </w:r>
      <w:r w:rsidRPr="00550E60">
        <w:rPr>
          <w:lang w:val="fr-FR"/>
        </w:rPr>
        <w:t>ovemb</w:t>
      </w:r>
      <w:r w:rsidR="00550E60" w:rsidRPr="00550E60">
        <w:rPr>
          <w:lang w:val="fr-FR"/>
        </w:rPr>
        <w:t>re</w:t>
      </w:r>
      <w:r w:rsidR="00002CCE">
        <w:rPr>
          <w:lang w:val="fr-FR"/>
        </w:rPr>
        <w:t>, Praça Europa 4</w:t>
      </w:r>
      <w:r w:rsidRPr="00550E60">
        <w:rPr>
          <w:lang w:val="fr-FR"/>
        </w:rPr>
        <w:t xml:space="preserve"> (</w:t>
      </w:r>
      <w:r w:rsidR="00550E60" w:rsidRPr="00550E60">
        <w:rPr>
          <w:lang w:val="fr-FR"/>
        </w:rPr>
        <w:t>ouverte à la presse</w:t>
      </w:r>
      <w:r w:rsidRPr="00550E60">
        <w:rPr>
          <w:lang w:val="fr-FR"/>
        </w:rPr>
        <w:t>).</w:t>
      </w:r>
    </w:p>
    <w:p w:rsidR="00367EF0" w:rsidRDefault="00367EF0" w:rsidP="00E7436F">
      <w:pPr>
        <w:pStyle w:val="Pa5"/>
        <w:spacing w:line="240" w:lineRule="auto"/>
        <w:rPr>
          <w:rFonts w:ascii="Arial" w:hAnsi="Arial" w:cs="Arial"/>
          <w:sz w:val="16"/>
          <w:szCs w:val="16"/>
          <w:lang w:val="fr-LU"/>
        </w:rPr>
      </w:pPr>
    </w:p>
    <w:p w:rsidR="009945F4" w:rsidRPr="00367EF0" w:rsidRDefault="0090401B" w:rsidP="00E7436F">
      <w:pPr>
        <w:pStyle w:val="Pa5"/>
        <w:spacing w:line="240" w:lineRule="auto"/>
        <w:rPr>
          <w:rFonts w:ascii="Arial" w:hAnsi="Arial" w:cs="Arial"/>
          <w:sz w:val="16"/>
          <w:szCs w:val="16"/>
          <w:lang w:val="fr-LU"/>
        </w:rPr>
      </w:pPr>
      <w:r w:rsidRPr="00367EF0">
        <w:rPr>
          <w:rFonts w:ascii="Arial" w:hAnsi="Arial" w:cs="Arial"/>
          <w:sz w:val="16"/>
          <w:szCs w:val="16"/>
          <w:lang w:val="fr-LU"/>
        </w:rPr>
        <w:t>(</w:t>
      </w:r>
      <w:r w:rsidRPr="00367EF0">
        <w:rPr>
          <w:rFonts w:ascii="Arial" w:hAnsi="Arial" w:cs="Arial"/>
          <w:sz w:val="16"/>
          <w:szCs w:val="16"/>
          <w:vertAlign w:val="superscript"/>
          <w:lang w:val="fr-LU"/>
        </w:rPr>
        <w:t>1</w:t>
      </w:r>
      <w:r w:rsidRPr="00367EF0">
        <w:rPr>
          <w:rFonts w:ascii="Arial" w:hAnsi="Arial" w:cs="Arial"/>
          <w:sz w:val="16"/>
          <w:szCs w:val="16"/>
          <w:lang w:val="fr-LU"/>
        </w:rPr>
        <w:t xml:space="preserve">) </w:t>
      </w:r>
      <w:hyperlink r:id="rId11" w:history="1">
        <w:r w:rsidR="009945F4" w:rsidRPr="00367EF0">
          <w:rPr>
            <w:rStyle w:val="Hyperlink"/>
            <w:rFonts w:cs="Arial"/>
            <w:sz w:val="16"/>
            <w:szCs w:val="16"/>
            <w:lang w:val="fr-LU"/>
          </w:rPr>
          <w:t>www.emcdda.europa.eu/activities/scientific-paper-award</w:t>
        </w:r>
      </w:hyperlink>
    </w:p>
    <w:p w:rsidR="009567A6" w:rsidRPr="00367EF0" w:rsidRDefault="0090401B" w:rsidP="00E7436F">
      <w:pPr>
        <w:spacing w:after="0" w:line="240" w:lineRule="auto"/>
        <w:rPr>
          <w:rFonts w:ascii="Arial" w:hAnsi="Arial" w:cs="Arial"/>
          <w:sz w:val="16"/>
          <w:szCs w:val="16"/>
          <w:lang w:val="fr-LU"/>
        </w:rPr>
      </w:pPr>
      <w:r w:rsidRPr="00367EF0">
        <w:rPr>
          <w:rFonts w:ascii="Arial" w:hAnsi="Arial" w:cs="Arial"/>
          <w:sz w:val="16"/>
          <w:szCs w:val="16"/>
          <w:lang w:val="fr-LU"/>
        </w:rPr>
        <w:t>(</w:t>
      </w:r>
      <w:r w:rsidRPr="00367EF0">
        <w:rPr>
          <w:rFonts w:ascii="Arial" w:hAnsi="Arial" w:cs="Arial"/>
          <w:sz w:val="16"/>
          <w:szCs w:val="16"/>
          <w:vertAlign w:val="superscript"/>
          <w:lang w:val="fr-LU"/>
        </w:rPr>
        <w:t>2</w:t>
      </w:r>
      <w:r w:rsidRPr="00367EF0">
        <w:rPr>
          <w:rFonts w:ascii="Arial" w:hAnsi="Arial" w:cs="Arial"/>
          <w:sz w:val="16"/>
          <w:szCs w:val="16"/>
          <w:lang w:val="fr-LU"/>
        </w:rPr>
        <w:t xml:space="preserve">) </w:t>
      </w:r>
      <w:hyperlink r:id="rId12" w:history="1">
        <w:r w:rsidR="00367EF0" w:rsidRPr="00367EF0">
          <w:rPr>
            <w:rStyle w:val="Hyperlink"/>
            <w:rFonts w:cs="Arial"/>
            <w:sz w:val="16"/>
            <w:szCs w:val="16"/>
            <w:lang w:val="fr-LU"/>
          </w:rPr>
          <w:t>www.emcdda.europa.eu/news/2014/third-reitox-week</w:t>
        </w:r>
      </w:hyperlink>
    </w:p>
    <w:p w:rsidR="00E7436F" w:rsidRPr="00367EF0" w:rsidRDefault="00E7436F" w:rsidP="00E7436F">
      <w:pPr>
        <w:spacing w:after="0" w:line="240" w:lineRule="auto"/>
        <w:rPr>
          <w:rStyle w:val="Hyperlink"/>
          <w:rFonts w:cs="Arial"/>
          <w:sz w:val="16"/>
          <w:szCs w:val="16"/>
          <w:lang w:val="fr-LU"/>
        </w:rPr>
      </w:pPr>
      <w:r w:rsidRPr="00367EF0">
        <w:rPr>
          <w:rFonts w:ascii="Arial" w:hAnsi="Arial" w:cs="Arial"/>
          <w:sz w:val="16"/>
          <w:szCs w:val="16"/>
          <w:lang w:val="fr-LU"/>
        </w:rPr>
        <w:t>(</w:t>
      </w:r>
      <w:r w:rsidRPr="00367EF0">
        <w:rPr>
          <w:rFonts w:ascii="Arial" w:hAnsi="Arial" w:cs="Arial"/>
          <w:sz w:val="16"/>
          <w:szCs w:val="16"/>
          <w:vertAlign w:val="superscript"/>
          <w:lang w:val="fr-LU"/>
        </w:rPr>
        <w:t>3</w:t>
      </w:r>
      <w:r w:rsidRPr="00367EF0">
        <w:rPr>
          <w:rFonts w:ascii="Arial" w:hAnsi="Arial" w:cs="Arial"/>
          <w:sz w:val="16"/>
          <w:szCs w:val="16"/>
          <w:lang w:val="fr-LU"/>
        </w:rPr>
        <w:t xml:space="preserve">) </w:t>
      </w:r>
      <w:hyperlink r:id="rId13" w:history="1">
        <w:r w:rsidRPr="00367EF0">
          <w:rPr>
            <w:rStyle w:val="Hyperlink"/>
            <w:rFonts w:cs="Arial"/>
            <w:sz w:val="16"/>
            <w:szCs w:val="16"/>
            <w:lang w:val="fr-LU"/>
          </w:rPr>
          <w:t>http://ec.europa.eu/justice/anti-drugs/files/equs_main_report_en.pdf</w:t>
        </w:r>
      </w:hyperlink>
    </w:p>
    <w:p w:rsidR="00020BB2" w:rsidRPr="00367EF0" w:rsidRDefault="00020BB2" w:rsidP="00E7436F">
      <w:pPr>
        <w:spacing w:after="0" w:line="240" w:lineRule="auto"/>
        <w:rPr>
          <w:rStyle w:val="Hyperlink"/>
          <w:rFonts w:cs="Arial"/>
          <w:sz w:val="14"/>
          <w:szCs w:val="14"/>
          <w:lang w:val="fr-LU"/>
        </w:rPr>
      </w:pPr>
      <w:bookmarkStart w:id="0" w:name="_GoBack"/>
      <w:bookmarkEnd w:id="0"/>
    </w:p>
    <w:p w:rsidR="00020BB2" w:rsidRPr="00367EF0" w:rsidRDefault="00020BB2" w:rsidP="00020BB2">
      <w:pPr>
        <w:spacing w:after="0" w:line="240" w:lineRule="auto"/>
        <w:rPr>
          <w:rFonts w:ascii="Arial" w:hAnsi="Arial" w:cs="Arial"/>
          <w:sz w:val="14"/>
          <w:szCs w:val="14"/>
          <w:lang w:val="fr-LU"/>
        </w:rPr>
      </w:pPr>
    </w:p>
    <w:sectPr w:rsidR="00020BB2" w:rsidRPr="00367EF0" w:rsidSect="00020BB2">
      <w:headerReference w:type="default" r:id="rId14"/>
      <w:footerReference w:type="default" r:id="rId15"/>
      <w:footerReference w:type="first" r:id="rId16"/>
      <w:type w:val="continuous"/>
      <w:pgSz w:w="11906" w:h="16838" w:code="9"/>
      <w:pgMar w:top="1381" w:right="1276" w:bottom="993" w:left="1276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55C" w:rsidRDefault="00D2655C" w:rsidP="009A28FB">
      <w:pPr>
        <w:spacing w:after="0" w:line="240" w:lineRule="auto"/>
      </w:pPr>
      <w:r>
        <w:separator/>
      </w:r>
    </w:p>
  </w:endnote>
  <w:endnote w:type="continuationSeparator" w:id="0">
    <w:p w:rsidR="00D2655C" w:rsidRDefault="00D2655C" w:rsidP="009A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rivia Sans Regular">
    <w:altName w:val="Trivia Sans 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197"/>
      <w:gridCol w:w="7293"/>
    </w:tblGrid>
    <w:tr w:rsidR="00BF1E3B" w:rsidTr="002F4635">
      <w:tc>
        <w:tcPr>
          <w:tcW w:w="1444" w:type="dxa"/>
        </w:tcPr>
        <w:p w:rsidR="00BF1E3B" w:rsidRDefault="00002CCE" w:rsidP="00D37865">
          <w:pPr>
            <w:pStyle w:val="newsCoordinates"/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299" distR="114299" simplePos="0" relativeHeight="251663360" behindDoc="1" locked="0" layoutInCell="1" allowOverlap="1" wp14:anchorId="362B6309" wp14:editId="39831EDF">
                    <wp:simplePos x="0" y="0"/>
                    <wp:positionH relativeFrom="page">
                      <wp:posOffset>35559</wp:posOffset>
                    </wp:positionH>
                    <wp:positionV relativeFrom="page">
                      <wp:posOffset>15240</wp:posOffset>
                    </wp:positionV>
                    <wp:extent cx="0" cy="107950"/>
                    <wp:effectExtent l="0" t="0" r="19050" b="25400"/>
                    <wp:wrapNone/>
                    <wp:docPr id="14" name="Straight Connector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 flipH="1">
                              <a:off x="0" y="0"/>
                              <a:ext cx="0" cy="10795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14" o:spid="_x0000_s1026" style="position:absolute;flip:x;z-index:-251653120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margin;mso-height-relative:margin" from="2.8pt,1.2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" strokecolor="#009" strokeweight="1.5pt">
                    <o:lock v:ext="edit" shapetype="f"/>
                    <w10:wrap anchorx="page" anchory="page"/>
                  </v:line>
                </w:pict>
              </mc:Fallback>
            </mc:AlternateContent>
          </w:r>
          <w:r w:rsidR="00BF1E3B" w:rsidRPr="00D37865">
            <w:rPr>
              <w:noProof/>
              <w:lang w:eastAsia="en-GB"/>
            </w:rPr>
            <w:t>emcdda.europa.eu</w:t>
          </w:r>
        </w:p>
      </w:tc>
      <w:tc>
        <w:tcPr>
          <w:tcW w:w="3294" w:type="dxa"/>
          <w:vAlign w:val="bottom"/>
        </w:tcPr>
        <w:p w:rsidR="00BF1E3B" w:rsidRDefault="00757480" w:rsidP="00020BB2">
          <w:pPr>
            <w:pStyle w:val="newsReference"/>
          </w:pPr>
          <w:r>
            <w:fldChar w:fldCharType="begin"/>
          </w:r>
          <w:r w:rsidR="002F4635">
            <w:instrText xml:space="preserve"> PAGE   \* MERGEFORMAT </w:instrText>
          </w:r>
          <w:r>
            <w:fldChar w:fldCharType="separate"/>
          </w:r>
          <w:r w:rsidR="00367EF0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BF1E3B" w:rsidRDefault="00BF1E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63677C" w:rsidTr="003B00EE">
      <w:tc>
        <w:tcPr>
          <w:tcW w:w="7196" w:type="dxa"/>
        </w:tcPr>
        <w:p w:rsidR="00995662" w:rsidRPr="00AE0AC5" w:rsidRDefault="00002CCE" w:rsidP="003B00EE">
          <w:pPr>
            <w:pStyle w:val="newsCoordinates"/>
            <w:rPr>
              <w:lang w:val="fr-LU"/>
            </w:rPr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299" distR="114299" simplePos="0" relativeHeight="251665408" behindDoc="1" locked="0" layoutInCell="1" allowOverlap="1" wp14:anchorId="7644193D" wp14:editId="2D893D43">
                    <wp:simplePos x="0" y="0"/>
                    <wp:positionH relativeFrom="page">
                      <wp:posOffset>32384</wp:posOffset>
                    </wp:positionH>
                    <wp:positionV relativeFrom="page">
                      <wp:posOffset>-14605</wp:posOffset>
                    </wp:positionV>
                    <wp:extent cx="0" cy="431800"/>
                    <wp:effectExtent l="0" t="0" r="19050" b="25400"/>
                    <wp:wrapNone/>
                    <wp:docPr id="4" name="Straight Connector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4318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4" o:spid="_x0000_s1026" style="position:absolute;z-index:-25165107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margin" from="2.55pt,-1.15pt" to="2.5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" strokecolor="#009" strokeweight="1.5pt">
                    <o:lock v:ext="edit" shapetype="f"/>
                    <w10:wrap anchorx="page" anchory="page"/>
                  </v:line>
                </w:pict>
              </mc:Fallback>
            </mc:AlternateContent>
          </w:r>
          <w:r w:rsidR="0063677C" w:rsidRPr="00AE0AC5">
            <w:rPr>
              <w:lang w:val="fr-LU"/>
            </w:rPr>
            <w:t xml:space="preserve">Contact: Kathy Robertson, </w:t>
          </w:r>
          <w:r w:rsidR="00873BA8" w:rsidRPr="00AE0AC5">
            <w:rPr>
              <w:lang w:val="fr-LU"/>
            </w:rPr>
            <w:t>Relations avec les médias</w:t>
          </w:r>
          <w:r w:rsidR="0063677C" w:rsidRPr="00AE0AC5">
            <w:rPr>
              <w:lang w:val="fr-LU"/>
            </w:rPr>
            <w:t xml:space="preserve"> </w:t>
          </w:r>
          <w:r w:rsidR="0063677C" w:rsidRPr="00AE0AC5">
            <w:rPr>
              <w:sz w:val="18"/>
              <w:lang w:val="fr-LU"/>
            </w:rPr>
            <w:t>I</w:t>
          </w:r>
          <w:r w:rsidR="0063677C" w:rsidRPr="00AE0AC5">
            <w:rPr>
              <w:lang w:val="fr-LU"/>
            </w:rPr>
            <w:t xml:space="preserve"> Kathryn.Robertson@emcdda.europa.eu</w:t>
          </w:r>
        </w:p>
        <w:p w:rsidR="00995662" w:rsidRDefault="0063677C" w:rsidP="003B00EE">
          <w:pPr>
            <w:pStyle w:val="newsCoordinates"/>
            <w:rPr>
              <w:lang w:val="pt-PT"/>
            </w:rPr>
          </w:pPr>
          <w:r w:rsidRPr="002813EC">
            <w:rPr>
              <w:lang w:val="pt-PT"/>
            </w:rPr>
            <w:t>Praça Europa 1, Cais do Sodré, 1249-289 Lisbon</w:t>
          </w:r>
          <w:r w:rsidR="00873BA8">
            <w:rPr>
              <w:lang w:val="pt-PT"/>
            </w:rPr>
            <w:t>ne</w:t>
          </w:r>
          <w:r w:rsidRPr="002813EC">
            <w:rPr>
              <w:lang w:val="pt-PT"/>
            </w:rPr>
            <w:t>, Portugal</w:t>
          </w:r>
        </w:p>
        <w:p w:rsidR="0063677C" w:rsidRDefault="0063677C" w:rsidP="00873BA8">
          <w:pPr>
            <w:pStyle w:val="newsCoordinates"/>
          </w:pPr>
          <w:r>
            <w:t>T</w:t>
          </w:r>
          <w:r w:rsidR="00873BA8">
            <w:t>é</w:t>
          </w:r>
          <w:r>
            <w:t xml:space="preserve">l. (351) 211 21 02 00 </w:t>
          </w:r>
          <w:r w:rsidRPr="00FC0187">
            <w:rPr>
              <w:sz w:val="18"/>
            </w:rPr>
            <w:t xml:space="preserve">I </w:t>
          </w:r>
          <w:r>
            <w:t xml:space="preserve">press@emcdda.europa.eu </w:t>
          </w:r>
          <w:r w:rsidRPr="00FC0187">
            <w:rPr>
              <w:sz w:val="18"/>
            </w:rPr>
            <w:t>I</w:t>
          </w:r>
          <w:r>
            <w:t xml:space="preserve"> emcdda.europa.eu</w:t>
          </w:r>
        </w:p>
      </w:tc>
      <w:tc>
        <w:tcPr>
          <w:tcW w:w="3294" w:type="dxa"/>
          <w:vAlign w:val="bottom"/>
        </w:tcPr>
        <w:p w:rsidR="0063677C" w:rsidRDefault="00873BA8" w:rsidP="00020BB2">
          <w:pPr>
            <w:pStyle w:val="newsReference"/>
          </w:pPr>
          <w:r>
            <w:t>FR</w:t>
          </w:r>
          <w:r w:rsidR="0090401B">
            <w:t xml:space="preserve"> — N</w:t>
          </w:r>
          <w:r>
            <w:t>°</w:t>
          </w:r>
          <w:r w:rsidR="0090401B">
            <w:t xml:space="preserve"> 9</w:t>
          </w:r>
          <w:r w:rsidR="0063677C" w:rsidRPr="00FC0187">
            <w:t>/</w:t>
          </w:r>
          <w:r w:rsidR="0090401B">
            <w:t>2014</w:t>
          </w:r>
        </w:p>
      </w:tc>
    </w:tr>
  </w:tbl>
  <w:p w:rsidR="0063677C" w:rsidRDefault="006367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55C" w:rsidRDefault="00D2655C" w:rsidP="009A28FB">
      <w:pPr>
        <w:spacing w:after="0" w:line="240" w:lineRule="auto"/>
      </w:pPr>
      <w:r>
        <w:separator/>
      </w:r>
    </w:p>
  </w:footnote>
  <w:footnote w:type="continuationSeparator" w:id="0">
    <w:p w:rsidR="00D2655C" w:rsidRDefault="00D2655C" w:rsidP="009A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065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2869"/>
    </w:tblGrid>
    <w:tr w:rsidR="00BF1E3B" w:rsidTr="00020BB2">
      <w:tc>
        <w:tcPr>
          <w:tcW w:w="7196" w:type="dxa"/>
        </w:tcPr>
        <w:p w:rsidR="00BF1E3B" w:rsidRPr="00020BB2" w:rsidRDefault="00002CCE" w:rsidP="00CC4FDA">
          <w:pPr>
            <w:pStyle w:val="newsEmbargo"/>
            <w:rPr>
              <w:lang w:val="fr-FR"/>
            </w:rPr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299" distR="114299" simplePos="0" relativeHeight="251661312" behindDoc="1" locked="0" layoutInCell="1" allowOverlap="1" wp14:anchorId="66CA4C74" wp14:editId="79E3E093">
                    <wp:simplePos x="0" y="0"/>
                    <wp:positionH relativeFrom="page">
                      <wp:posOffset>35559</wp:posOffset>
                    </wp:positionH>
                    <wp:positionV relativeFrom="page">
                      <wp:posOffset>-1270</wp:posOffset>
                    </wp:positionV>
                    <wp:extent cx="0" cy="124460"/>
                    <wp:effectExtent l="0" t="0" r="19050" b="27940"/>
                    <wp:wrapNone/>
                    <wp:docPr id="11" name="Straight Connector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12446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11" o:spid="_x0000_s1026" style="position:absolute;z-index:-25165516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margin" from="2.8pt,-.1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" strokecolor="#009" strokeweight="1.5pt">
                    <o:lock v:ext="edit" shapetype="f"/>
                    <w10:wrap anchorx="page" anchory="page"/>
                  </v:line>
                </w:pict>
              </mc:Fallback>
            </mc:AlternateContent>
          </w:r>
          <w:r w:rsidR="00020BB2" w:rsidRPr="00020BB2">
            <w:rPr>
              <w:noProof/>
              <w:lang w:val="fr-FR" w:eastAsia="en-GB"/>
            </w:rPr>
            <w:t>Prix 2014 de la rédaction scientifique de l’EMCDDA</w:t>
          </w:r>
        </w:p>
      </w:tc>
      <w:tc>
        <w:tcPr>
          <w:tcW w:w="2869" w:type="dxa"/>
          <w:vAlign w:val="bottom"/>
        </w:tcPr>
        <w:p w:rsidR="00BF1E3B" w:rsidRDefault="00BF1E3B" w:rsidP="00020BB2">
          <w:pPr>
            <w:pStyle w:val="newsReference"/>
          </w:pPr>
          <w:r w:rsidRPr="00CC4FDA">
            <w:t>2</w:t>
          </w:r>
          <w:r w:rsidR="0090401B">
            <w:t>4</w:t>
          </w:r>
          <w:r w:rsidRPr="00CC4FDA">
            <w:t>.</w:t>
          </w:r>
          <w:r w:rsidR="0090401B">
            <w:t>11</w:t>
          </w:r>
          <w:r w:rsidRPr="00CC4FDA">
            <w:t>.201</w:t>
          </w:r>
          <w:r w:rsidR="0090401B">
            <w:t>4</w:t>
          </w:r>
        </w:p>
      </w:tc>
    </w:tr>
  </w:tbl>
  <w:p w:rsidR="00BF1E3B" w:rsidRDefault="00BF1E3B" w:rsidP="00020B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3FCB"/>
    <w:multiLevelType w:val="singleLevel"/>
    <w:tmpl w:val="2B1C1D38"/>
    <w:lvl w:ilvl="0">
      <w:start w:val="1"/>
      <w:numFmt w:val="bullet"/>
      <w:pStyle w:val="BulletstyleBlue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">
    <w:nsid w:val="1B5B3AFA"/>
    <w:multiLevelType w:val="hybridMultilevel"/>
    <w:tmpl w:val="010C71B4"/>
    <w:lvl w:ilvl="0" w:tplc="947E1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3563E8"/>
    <w:multiLevelType w:val="hybridMultilevel"/>
    <w:tmpl w:val="7570EB30"/>
    <w:lvl w:ilvl="0" w:tplc="378E9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F515D0"/>
    <w:multiLevelType w:val="hybridMultilevel"/>
    <w:tmpl w:val="DBD28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F7DA0"/>
    <w:multiLevelType w:val="hybridMultilevel"/>
    <w:tmpl w:val="B54EECA2"/>
    <w:lvl w:ilvl="0" w:tplc="9DC8B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354E35"/>
    <w:multiLevelType w:val="multilevel"/>
    <w:tmpl w:val="04D2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DF6019"/>
    <w:multiLevelType w:val="hybridMultilevel"/>
    <w:tmpl w:val="39BC66A8"/>
    <w:lvl w:ilvl="0" w:tplc="786647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FD3862"/>
    <w:multiLevelType w:val="hybridMultilevel"/>
    <w:tmpl w:val="83608104"/>
    <w:lvl w:ilvl="0" w:tplc="9DC8B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4300C9"/>
    <w:multiLevelType w:val="hybridMultilevel"/>
    <w:tmpl w:val="8F366C18"/>
    <w:lvl w:ilvl="0" w:tplc="7554BB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8"/>
  </w:num>
  <w:num w:numId="6">
    <w:abstractNumId w:val="6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669"/>
    <w:rsid w:val="00002CCE"/>
    <w:rsid w:val="000124DC"/>
    <w:rsid w:val="00014E8E"/>
    <w:rsid w:val="00020BB2"/>
    <w:rsid w:val="00034C79"/>
    <w:rsid w:val="00035F9F"/>
    <w:rsid w:val="00036DAA"/>
    <w:rsid w:val="000535B7"/>
    <w:rsid w:val="00054FA6"/>
    <w:rsid w:val="00067DD3"/>
    <w:rsid w:val="000A1B62"/>
    <w:rsid w:val="000A1F04"/>
    <w:rsid w:val="000B0723"/>
    <w:rsid w:val="000C6200"/>
    <w:rsid w:val="000D0F61"/>
    <w:rsid w:val="000E0199"/>
    <w:rsid w:val="000E1CDF"/>
    <w:rsid w:val="000E3D3F"/>
    <w:rsid w:val="000E640C"/>
    <w:rsid w:val="00105BFC"/>
    <w:rsid w:val="00107C96"/>
    <w:rsid w:val="00172230"/>
    <w:rsid w:val="0017713E"/>
    <w:rsid w:val="001800D0"/>
    <w:rsid w:val="001A1857"/>
    <w:rsid w:val="001A2BAC"/>
    <w:rsid w:val="001A3338"/>
    <w:rsid w:val="001C795A"/>
    <w:rsid w:val="001D5C26"/>
    <w:rsid w:val="001F70B4"/>
    <w:rsid w:val="00201F7F"/>
    <w:rsid w:val="00204CF8"/>
    <w:rsid w:val="00223753"/>
    <w:rsid w:val="00224808"/>
    <w:rsid w:val="0025435E"/>
    <w:rsid w:val="002557B0"/>
    <w:rsid w:val="002646E4"/>
    <w:rsid w:val="0027252D"/>
    <w:rsid w:val="002813EC"/>
    <w:rsid w:val="0028141E"/>
    <w:rsid w:val="002948E2"/>
    <w:rsid w:val="002A35E6"/>
    <w:rsid w:val="002A61F7"/>
    <w:rsid w:val="002B05CE"/>
    <w:rsid w:val="002B45AC"/>
    <w:rsid w:val="002F4635"/>
    <w:rsid w:val="00323540"/>
    <w:rsid w:val="0033158E"/>
    <w:rsid w:val="00340F2F"/>
    <w:rsid w:val="00341A05"/>
    <w:rsid w:val="00355D27"/>
    <w:rsid w:val="0036121D"/>
    <w:rsid w:val="00365B91"/>
    <w:rsid w:val="00367EF0"/>
    <w:rsid w:val="00383DF7"/>
    <w:rsid w:val="00387D02"/>
    <w:rsid w:val="00387E3E"/>
    <w:rsid w:val="003B41B1"/>
    <w:rsid w:val="003C0395"/>
    <w:rsid w:val="003C28AA"/>
    <w:rsid w:val="004137B0"/>
    <w:rsid w:val="004221D3"/>
    <w:rsid w:val="004318D4"/>
    <w:rsid w:val="00440F39"/>
    <w:rsid w:val="0044111C"/>
    <w:rsid w:val="00445080"/>
    <w:rsid w:val="0045468D"/>
    <w:rsid w:val="004847FB"/>
    <w:rsid w:val="004A6D61"/>
    <w:rsid w:val="004C3028"/>
    <w:rsid w:val="004C3120"/>
    <w:rsid w:val="004D3047"/>
    <w:rsid w:val="004D6E0C"/>
    <w:rsid w:val="0050657F"/>
    <w:rsid w:val="00507272"/>
    <w:rsid w:val="00511FBA"/>
    <w:rsid w:val="00520EF1"/>
    <w:rsid w:val="00524625"/>
    <w:rsid w:val="00542CEE"/>
    <w:rsid w:val="00550E60"/>
    <w:rsid w:val="00593057"/>
    <w:rsid w:val="005A0DC8"/>
    <w:rsid w:val="005B05A0"/>
    <w:rsid w:val="005B0882"/>
    <w:rsid w:val="005B1B63"/>
    <w:rsid w:val="005C4033"/>
    <w:rsid w:val="006066EB"/>
    <w:rsid w:val="006116D9"/>
    <w:rsid w:val="00623A55"/>
    <w:rsid w:val="0063677C"/>
    <w:rsid w:val="006404BC"/>
    <w:rsid w:val="006518A1"/>
    <w:rsid w:val="00666A63"/>
    <w:rsid w:val="00681764"/>
    <w:rsid w:val="00690DCD"/>
    <w:rsid w:val="00730132"/>
    <w:rsid w:val="00740FB3"/>
    <w:rsid w:val="00757480"/>
    <w:rsid w:val="007667FC"/>
    <w:rsid w:val="00773814"/>
    <w:rsid w:val="007864CF"/>
    <w:rsid w:val="00791F09"/>
    <w:rsid w:val="00791FA7"/>
    <w:rsid w:val="007B0E03"/>
    <w:rsid w:val="007B1CCD"/>
    <w:rsid w:val="007C3E46"/>
    <w:rsid w:val="007E5184"/>
    <w:rsid w:val="007F0BD0"/>
    <w:rsid w:val="008109DD"/>
    <w:rsid w:val="00813FB5"/>
    <w:rsid w:val="008244FC"/>
    <w:rsid w:val="00841E86"/>
    <w:rsid w:val="00846A62"/>
    <w:rsid w:val="00873BA8"/>
    <w:rsid w:val="008810E4"/>
    <w:rsid w:val="00881730"/>
    <w:rsid w:val="00897B75"/>
    <w:rsid w:val="008C1172"/>
    <w:rsid w:val="008D54B3"/>
    <w:rsid w:val="008E6083"/>
    <w:rsid w:val="008F177B"/>
    <w:rsid w:val="008F399E"/>
    <w:rsid w:val="00902300"/>
    <w:rsid w:val="00902E68"/>
    <w:rsid w:val="0090401B"/>
    <w:rsid w:val="00941261"/>
    <w:rsid w:val="00955F0C"/>
    <w:rsid w:val="009567A6"/>
    <w:rsid w:val="00974A27"/>
    <w:rsid w:val="00974BB8"/>
    <w:rsid w:val="00975FE2"/>
    <w:rsid w:val="00985C28"/>
    <w:rsid w:val="009945F4"/>
    <w:rsid w:val="00995662"/>
    <w:rsid w:val="009A28FB"/>
    <w:rsid w:val="009B635F"/>
    <w:rsid w:val="009D34A1"/>
    <w:rsid w:val="009D6255"/>
    <w:rsid w:val="009E1959"/>
    <w:rsid w:val="009E60D4"/>
    <w:rsid w:val="009F31A2"/>
    <w:rsid w:val="009F4874"/>
    <w:rsid w:val="009F4FB0"/>
    <w:rsid w:val="00A0788A"/>
    <w:rsid w:val="00A16B77"/>
    <w:rsid w:val="00A311EF"/>
    <w:rsid w:val="00A31A2E"/>
    <w:rsid w:val="00A3254D"/>
    <w:rsid w:val="00A4739A"/>
    <w:rsid w:val="00A556DD"/>
    <w:rsid w:val="00A62A9A"/>
    <w:rsid w:val="00A661E2"/>
    <w:rsid w:val="00A856B7"/>
    <w:rsid w:val="00AA6E4C"/>
    <w:rsid w:val="00AC2669"/>
    <w:rsid w:val="00AC4AB9"/>
    <w:rsid w:val="00AD0D74"/>
    <w:rsid w:val="00AD7BFC"/>
    <w:rsid w:val="00AE093C"/>
    <w:rsid w:val="00AE0AC5"/>
    <w:rsid w:val="00AE1738"/>
    <w:rsid w:val="00AE72C0"/>
    <w:rsid w:val="00AF13B3"/>
    <w:rsid w:val="00AF259D"/>
    <w:rsid w:val="00B11B73"/>
    <w:rsid w:val="00B15340"/>
    <w:rsid w:val="00B17D8B"/>
    <w:rsid w:val="00B24948"/>
    <w:rsid w:val="00B25554"/>
    <w:rsid w:val="00B272F1"/>
    <w:rsid w:val="00B42483"/>
    <w:rsid w:val="00B51E08"/>
    <w:rsid w:val="00B57464"/>
    <w:rsid w:val="00B61036"/>
    <w:rsid w:val="00B71A8E"/>
    <w:rsid w:val="00B72DD3"/>
    <w:rsid w:val="00B7335C"/>
    <w:rsid w:val="00B824D6"/>
    <w:rsid w:val="00B97BC5"/>
    <w:rsid w:val="00BB60CF"/>
    <w:rsid w:val="00BD5200"/>
    <w:rsid w:val="00BE429F"/>
    <w:rsid w:val="00BE654E"/>
    <w:rsid w:val="00BF1E3B"/>
    <w:rsid w:val="00C06916"/>
    <w:rsid w:val="00C11EDD"/>
    <w:rsid w:val="00C314D1"/>
    <w:rsid w:val="00C36BC1"/>
    <w:rsid w:val="00C54D9F"/>
    <w:rsid w:val="00C628C4"/>
    <w:rsid w:val="00C63254"/>
    <w:rsid w:val="00C874C0"/>
    <w:rsid w:val="00CA2FF5"/>
    <w:rsid w:val="00CB49DA"/>
    <w:rsid w:val="00CC1F19"/>
    <w:rsid w:val="00CC4FDA"/>
    <w:rsid w:val="00CC6A8B"/>
    <w:rsid w:val="00CE70EF"/>
    <w:rsid w:val="00D01335"/>
    <w:rsid w:val="00D03EC6"/>
    <w:rsid w:val="00D2655C"/>
    <w:rsid w:val="00D3312B"/>
    <w:rsid w:val="00D34A9E"/>
    <w:rsid w:val="00D37865"/>
    <w:rsid w:val="00D4067C"/>
    <w:rsid w:val="00D57367"/>
    <w:rsid w:val="00D65909"/>
    <w:rsid w:val="00D676EA"/>
    <w:rsid w:val="00D84AE3"/>
    <w:rsid w:val="00D92A34"/>
    <w:rsid w:val="00DC3DC2"/>
    <w:rsid w:val="00DE122F"/>
    <w:rsid w:val="00DF2FAF"/>
    <w:rsid w:val="00E052B5"/>
    <w:rsid w:val="00E321BA"/>
    <w:rsid w:val="00E57C9D"/>
    <w:rsid w:val="00E66CCD"/>
    <w:rsid w:val="00E72F3B"/>
    <w:rsid w:val="00E7436F"/>
    <w:rsid w:val="00E81F3D"/>
    <w:rsid w:val="00E83FC3"/>
    <w:rsid w:val="00EB41F8"/>
    <w:rsid w:val="00ED487E"/>
    <w:rsid w:val="00EE23CC"/>
    <w:rsid w:val="00EF7F25"/>
    <w:rsid w:val="00F06CDE"/>
    <w:rsid w:val="00F21CA9"/>
    <w:rsid w:val="00F24096"/>
    <w:rsid w:val="00F24ADE"/>
    <w:rsid w:val="00F414EF"/>
    <w:rsid w:val="00F41D20"/>
    <w:rsid w:val="00F47542"/>
    <w:rsid w:val="00FB351B"/>
    <w:rsid w:val="00FC0187"/>
    <w:rsid w:val="00FE3721"/>
    <w:rsid w:val="00FE4789"/>
    <w:rsid w:val="00FE613B"/>
    <w:rsid w:val="00FE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404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0124DC"/>
    <w:pPr>
      <w:tabs>
        <w:tab w:val="left" w:pos="5205"/>
      </w:tabs>
      <w:spacing w:before="240" w:after="120" w:line="280" w:lineRule="exact"/>
    </w:pPr>
    <w:rPr>
      <w:rFonts w:ascii="Arial" w:hAnsi="Arial"/>
      <w:caps/>
      <w:lang w:val="fr-FR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9567A6"/>
    <w:pPr>
      <w:spacing w:after="300" w:line="300" w:lineRule="exact"/>
    </w:pPr>
    <w:rPr>
      <w:rFonts w:ascii="Arial" w:hAnsi="Arial"/>
      <w:b/>
    </w:rPr>
  </w:style>
  <w:style w:type="paragraph" w:customStyle="1" w:styleId="newsContent">
    <w:name w:val="newsContent"/>
    <w:basedOn w:val="Normal"/>
    <w:link w:val="newsContentChar"/>
    <w:autoRedefine/>
    <w:qFormat/>
    <w:rsid w:val="00985C28"/>
    <w:pPr>
      <w:spacing w:after="260" w:line="260" w:lineRule="exact"/>
    </w:pPr>
    <w:rPr>
      <w:rFonts w:ascii="Arial" w:hAnsi="Arial"/>
      <w:color w:val="000000" w:themeColor="text1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020BB2"/>
    <w:pPr>
      <w:spacing w:after="0" w:line="200" w:lineRule="exact"/>
      <w:jc w:val="righ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FC0187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2948E2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CB49DA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985C28"/>
    <w:rPr>
      <w:rFonts w:ascii="Arial" w:hAnsi="Arial"/>
      <w:color w:val="000000" w:themeColor="text1"/>
      <w:sz w:val="20"/>
    </w:rPr>
  </w:style>
  <w:style w:type="character" w:customStyle="1" w:styleId="newsNotesChar">
    <w:name w:val="newsNotes Char"/>
    <w:basedOn w:val="newsContentChar"/>
    <w:link w:val="newsNotes"/>
    <w:rsid w:val="00CB49DA"/>
    <w:rPr>
      <w:rFonts w:ascii="Arial" w:hAnsi="Arial"/>
      <w:color w:val="000000" w:themeColor="text1"/>
      <w:sz w:val="17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</w:rPr>
  </w:style>
  <w:style w:type="paragraph" w:customStyle="1" w:styleId="MaintextstyleBlack">
    <w:name w:val="*Main text style (Black)"/>
    <w:basedOn w:val="Normal"/>
    <w:rsid w:val="007F0BD0"/>
    <w:pPr>
      <w:spacing w:after="227" w:line="260" w:lineRule="exact"/>
    </w:pPr>
    <w:rPr>
      <w:rFonts w:ascii="Arial" w:eastAsia="Times New Roman" w:hAnsi="Arial" w:cs="Times New Roman"/>
      <w:sz w:val="20"/>
      <w:szCs w:val="20"/>
    </w:rPr>
  </w:style>
  <w:style w:type="paragraph" w:customStyle="1" w:styleId="BulletstyleBlue">
    <w:name w:val="*Bullet style (Blue)"/>
    <w:basedOn w:val="MaintextstyleBlack"/>
    <w:rsid w:val="007F0BD0"/>
    <w:pPr>
      <w:numPr>
        <w:numId w:val="1"/>
      </w:numPr>
      <w:tabs>
        <w:tab w:val="clear" w:pos="360"/>
        <w:tab w:val="left" w:pos="227"/>
      </w:tabs>
      <w:spacing w:after="113"/>
    </w:pPr>
    <w:rPr>
      <w:color w:val="000080"/>
    </w:rPr>
  </w:style>
  <w:style w:type="paragraph" w:customStyle="1" w:styleId="CarcterCarcter">
    <w:name w:val="Carácter Carácter"/>
    <w:basedOn w:val="Normal"/>
    <w:rsid w:val="007F0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Pa5">
    <w:name w:val="Pa5"/>
    <w:basedOn w:val="Normal"/>
    <w:next w:val="Normal"/>
    <w:uiPriority w:val="99"/>
    <w:rsid w:val="007F0BD0"/>
    <w:pPr>
      <w:autoSpaceDE w:val="0"/>
      <w:autoSpaceDN w:val="0"/>
      <w:adjustRightInd w:val="0"/>
      <w:spacing w:after="0" w:line="171" w:lineRule="atLeast"/>
    </w:pPr>
    <w:rPr>
      <w:rFonts w:ascii="Trivia Sans Regular" w:hAnsi="Trivia Sans Regular"/>
      <w:sz w:val="24"/>
      <w:szCs w:val="24"/>
    </w:rPr>
  </w:style>
  <w:style w:type="paragraph" w:styleId="NormalWeb">
    <w:name w:val="Normal (Web)"/>
    <w:basedOn w:val="Normal"/>
    <w:uiPriority w:val="99"/>
    <w:unhideWhenUsed/>
    <w:rsid w:val="00254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404B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945F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40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F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F2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C3D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404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0124DC"/>
    <w:pPr>
      <w:tabs>
        <w:tab w:val="left" w:pos="5205"/>
      </w:tabs>
      <w:spacing w:before="240" w:after="120" w:line="280" w:lineRule="exact"/>
    </w:pPr>
    <w:rPr>
      <w:rFonts w:ascii="Arial" w:hAnsi="Arial"/>
      <w:caps/>
      <w:lang w:val="fr-FR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9567A6"/>
    <w:pPr>
      <w:spacing w:after="300" w:line="300" w:lineRule="exact"/>
    </w:pPr>
    <w:rPr>
      <w:rFonts w:ascii="Arial" w:hAnsi="Arial"/>
      <w:b/>
    </w:rPr>
  </w:style>
  <w:style w:type="paragraph" w:customStyle="1" w:styleId="newsContent">
    <w:name w:val="newsContent"/>
    <w:basedOn w:val="Normal"/>
    <w:link w:val="newsContentChar"/>
    <w:autoRedefine/>
    <w:qFormat/>
    <w:rsid w:val="00985C28"/>
    <w:pPr>
      <w:spacing w:after="260" w:line="260" w:lineRule="exact"/>
    </w:pPr>
    <w:rPr>
      <w:rFonts w:ascii="Arial" w:hAnsi="Arial"/>
      <w:color w:val="000000" w:themeColor="text1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020BB2"/>
    <w:pPr>
      <w:spacing w:after="0" w:line="200" w:lineRule="exact"/>
      <w:jc w:val="righ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FC0187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2948E2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CB49DA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985C28"/>
    <w:rPr>
      <w:rFonts w:ascii="Arial" w:hAnsi="Arial"/>
      <w:color w:val="000000" w:themeColor="text1"/>
      <w:sz w:val="20"/>
    </w:rPr>
  </w:style>
  <w:style w:type="character" w:customStyle="1" w:styleId="newsNotesChar">
    <w:name w:val="newsNotes Char"/>
    <w:basedOn w:val="newsContentChar"/>
    <w:link w:val="newsNotes"/>
    <w:rsid w:val="00CB49DA"/>
    <w:rPr>
      <w:rFonts w:ascii="Arial" w:hAnsi="Arial"/>
      <w:color w:val="000000" w:themeColor="text1"/>
      <w:sz w:val="17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</w:rPr>
  </w:style>
  <w:style w:type="paragraph" w:customStyle="1" w:styleId="MaintextstyleBlack">
    <w:name w:val="*Main text style (Black)"/>
    <w:basedOn w:val="Normal"/>
    <w:rsid w:val="007F0BD0"/>
    <w:pPr>
      <w:spacing w:after="227" w:line="260" w:lineRule="exact"/>
    </w:pPr>
    <w:rPr>
      <w:rFonts w:ascii="Arial" w:eastAsia="Times New Roman" w:hAnsi="Arial" w:cs="Times New Roman"/>
      <w:sz w:val="20"/>
      <w:szCs w:val="20"/>
    </w:rPr>
  </w:style>
  <w:style w:type="paragraph" w:customStyle="1" w:styleId="BulletstyleBlue">
    <w:name w:val="*Bullet style (Blue)"/>
    <w:basedOn w:val="MaintextstyleBlack"/>
    <w:rsid w:val="007F0BD0"/>
    <w:pPr>
      <w:numPr>
        <w:numId w:val="1"/>
      </w:numPr>
      <w:tabs>
        <w:tab w:val="clear" w:pos="360"/>
        <w:tab w:val="left" w:pos="227"/>
      </w:tabs>
      <w:spacing w:after="113"/>
    </w:pPr>
    <w:rPr>
      <w:color w:val="000080"/>
    </w:rPr>
  </w:style>
  <w:style w:type="paragraph" w:customStyle="1" w:styleId="CarcterCarcter">
    <w:name w:val="Carácter Carácter"/>
    <w:basedOn w:val="Normal"/>
    <w:rsid w:val="007F0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Pa5">
    <w:name w:val="Pa5"/>
    <w:basedOn w:val="Normal"/>
    <w:next w:val="Normal"/>
    <w:uiPriority w:val="99"/>
    <w:rsid w:val="007F0BD0"/>
    <w:pPr>
      <w:autoSpaceDE w:val="0"/>
      <w:autoSpaceDN w:val="0"/>
      <w:adjustRightInd w:val="0"/>
      <w:spacing w:after="0" w:line="171" w:lineRule="atLeast"/>
    </w:pPr>
    <w:rPr>
      <w:rFonts w:ascii="Trivia Sans Regular" w:hAnsi="Trivia Sans Regular"/>
      <w:sz w:val="24"/>
      <w:szCs w:val="24"/>
    </w:rPr>
  </w:style>
  <w:style w:type="paragraph" w:styleId="NormalWeb">
    <w:name w:val="Normal (Web)"/>
    <w:basedOn w:val="Normal"/>
    <w:uiPriority w:val="99"/>
    <w:unhideWhenUsed/>
    <w:rsid w:val="00254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404B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945F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40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F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F2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C3D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c.europa.eu/justice/anti-drugs/files/equs_main_report_en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mcdda.europa.eu/news/2014/third-reitox-wee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mcdda.europa.eu/activities/scientific-paper-award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42F8B-EF09-4CE9-9904-F3D6CEA64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News release EN</vt:lpstr>
      <vt:lpstr>News release EN</vt:lpstr>
    </vt:vector>
  </TitlesOfParts>
  <Company>Translation Centre</Company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EN</dc:title>
  <dc:subject>News release EN</dc:subject>
  <dc:creator>Translation Centre</dc:creator>
  <cp:lastModifiedBy>Kathryn Robertson</cp:lastModifiedBy>
  <cp:revision>10</cp:revision>
  <cp:lastPrinted>2014-11-20T14:58:00Z</cp:lastPrinted>
  <dcterms:created xsi:type="dcterms:W3CDTF">2014-11-20T09:25:00Z</dcterms:created>
  <dcterms:modified xsi:type="dcterms:W3CDTF">2014-11-21T11:58:00Z</dcterms:modified>
  <cp:category>News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>EMCDDA</vt:lpwstr>
  </property>
  <property fmtid="{D5CDD505-2E9C-101B-9397-08002B2CF9AE}" pid="3" name="Editor">
    <vt:lpwstr>EMCDDA</vt:lpwstr>
  </property>
</Properties>
</file>