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1B0230" w:rsidTr="00837F8F">
        <w:trPr>
          <w:trHeight w:val="1695"/>
        </w:trPr>
        <w:tc>
          <w:tcPr>
            <w:tcW w:w="2331" w:type="pct"/>
          </w:tcPr>
          <w:p w:rsidR="00EE23CC" w:rsidRPr="001B0230" w:rsidRDefault="00EE23CC" w:rsidP="00837F8F">
            <w:r w:rsidRPr="001B0230">
              <w:rPr>
                <w:noProof/>
                <w:lang w:val="en-GB" w:eastAsia="en-GB"/>
              </w:rPr>
              <w:drawing>
                <wp:inline distT="0" distB="0" distL="0" distR="0" wp14:anchorId="14825F3B" wp14:editId="688C2728">
                  <wp:extent cx="2559009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1B0230" w:rsidRDefault="00EE23CC" w:rsidP="00837F8F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1B0230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1B0230" w:rsidRDefault="001F70B4" w:rsidP="001F70B4">
            <w:r w:rsidRPr="001B0230">
              <w:rPr>
                <w:noProof/>
                <w:lang w:val="en-GB" w:eastAsia="en-GB"/>
              </w:rPr>
              <w:drawing>
                <wp:inline distT="0" distB="0" distL="0" distR="0" wp14:anchorId="63C729BB" wp14:editId="6A98E2F7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7CB" w:rsidRPr="001B0230" w:rsidRDefault="00B27331" w:rsidP="00BF67CB">
      <w:pPr>
        <w:pStyle w:val="newsTitle"/>
        <w:rPr>
          <w:b/>
        </w:rPr>
      </w:pPr>
      <w:r w:rsidRPr="00B27331">
        <w:t>NOUVELLE SYNTHÈSE ANNUELLE PUBLIÉE PAR L’EMCDDA</w:t>
      </w:r>
    </w:p>
    <w:p w:rsidR="00BF67CB" w:rsidRPr="00B27331" w:rsidRDefault="00B27331" w:rsidP="00BF67CB">
      <w:pPr>
        <w:pStyle w:val="newsSubTitle"/>
      </w:pPr>
      <w:r w:rsidRPr="00B27331">
        <w:t>L’agence sur les drogues de l’UE s’apprête à lancer son rapport européen sur les drogues 2014</w:t>
      </w:r>
    </w:p>
    <w:p w:rsidR="00B27331" w:rsidRPr="00B27331" w:rsidRDefault="00B27331" w:rsidP="00B27331">
      <w:pPr>
        <w:pStyle w:val="newsContent"/>
      </w:pPr>
      <w:r w:rsidRPr="00B27331">
        <w:t>(24.04.2014, LISBONNE) L’</w:t>
      </w:r>
      <w:r w:rsidRPr="00B27331">
        <w:rPr>
          <w:b/>
        </w:rPr>
        <w:t>Observatoire européen des drogues et des toxicomanies (EMCDDA)</w:t>
      </w:r>
      <w:r w:rsidRPr="00B27331">
        <w:t xml:space="preserve"> présentera sa synthèse annuelle sur l’état du phénomène de la drogue en Europe, le 27 mai prochain. </w:t>
      </w:r>
      <w:r w:rsidR="00C642E9">
        <w:t xml:space="preserve"> </w:t>
      </w:r>
      <w:r w:rsidRPr="00B27331">
        <w:t xml:space="preserve">Ce dossier d’information multilingue et multimédia sera particulièrement axé sur les évolutions rapides dans le champ. </w:t>
      </w:r>
    </w:p>
    <w:p w:rsidR="00B27331" w:rsidRPr="000567FE" w:rsidRDefault="00B27331" w:rsidP="00B27331">
      <w:pPr>
        <w:pStyle w:val="newsContent"/>
      </w:pPr>
      <w:r w:rsidRPr="00B27331">
        <w:t xml:space="preserve">Au cœur du dispositif, le </w:t>
      </w:r>
      <w:r w:rsidRPr="00B27331">
        <w:rPr>
          <w:b/>
          <w:i/>
        </w:rPr>
        <w:t>Rapport européen sur les drogues 2014: tendances et évolutions</w:t>
      </w:r>
      <w:r w:rsidRPr="00B27331">
        <w:t xml:space="preserve"> (disponible en 23 langues sous format papier et en ligne) résume les dernières tendances dans les </w:t>
      </w:r>
      <w:r w:rsidR="00C642E9">
        <w:t xml:space="preserve">               </w:t>
      </w:r>
      <w:r w:rsidRPr="00B27331">
        <w:t xml:space="preserve">28 États membres de l’Union européenne, en Norvège et en Turquie. Cette </w:t>
      </w:r>
      <w:r w:rsidRPr="000567FE">
        <w:t>analyse porte sur l’offre de drogue illicite, la consommation de drogue et les problèmes en résultant, les réponses sanitaires et sociales et les politiques de lutte antidrogue.</w:t>
      </w:r>
    </w:p>
    <w:p w:rsidR="00B27331" w:rsidRPr="00B27331" w:rsidRDefault="00B27331" w:rsidP="00B27331">
      <w:pPr>
        <w:pStyle w:val="newsContent"/>
      </w:pPr>
      <w:r w:rsidRPr="000567FE">
        <w:t xml:space="preserve">Les </w:t>
      </w:r>
      <w:r w:rsidRPr="000567FE">
        <w:rPr>
          <w:b/>
        </w:rPr>
        <w:t>Perspectives sur les drogues</w:t>
      </w:r>
      <w:r w:rsidRPr="000567FE">
        <w:t xml:space="preserve"> (</w:t>
      </w:r>
      <w:r w:rsidRPr="000567FE">
        <w:rPr>
          <w:i/>
        </w:rPr>
        <w:t>Perspectives on drugs/PODs</w:t>
      </w:r>
      <w:r w:rsidRPr="000567FE">
        <w:t>), synthèses interactives en ligne, accompagneront le rapport et permettront de développer six thèmes d’actualité (</w:t>
      </w:r>
      <w:r w:rsidR="00C71C86" w:rsidRPr="000567FE">
        <w:t>tels que</w:t>
      </w:r>
      <w:r w:rsidR="00C71C86" w:rsidRPr="00B27331">
        <w:t xml:space="preserve"> </w:t>
      </w:r>
      <w:r w:rsidRPr="00B27331">
        <w:t xml:space="preserve">les marchés du cannabis en Europe et les traitements via Internet). Le dossier d’information sera complété par </w:t>
      </w:r>
      <w:r>
        <w:t xml:space="preserve">le </w:t>
      </w:r>
      <w:r w:rsidRPr="005B0CC3">
        <w:rPr>
          <w:rFonts w:cs="Arial"/>
          <w:b/>
          <w:bCs/>
          <w:color w:val="000000"/>
          <w:szCs w:val="20"/>
          <w:lang w:val="fr-LU"/>
        </w:rPr>
        <w:t>Rapport européen sur les drogues: données et statistiques</w:t>
      </w:r>
      <w:r w:rsidR="000567FE">
        <w:rPr>
          <w:rFonts w:cs="Arial"/>
          <w:b/>
          <w:bCs/>
          <w:color w:val="000000"/>
          <w:szCs w:val="20"/>
          <w:lang w:val="fr-LU"/>
        </w:rPr>
        <w:t xml:space="preserve"> </w:t>
      </w:r>
      <w:r w:rsidRPr="00B27331">
        <w:t>(</w:t>
      </w:r>
      <w:r w:rsidRPr="00B27331">
        <w:rPr>
          <w:i/>
        </w:rPr>
        <w:t>European Drug Report: Data and statistics</w:t>
      </w:r>
      <w:r w:rsidRPr="00B27331">
        <w:t xml:space="preserve">) et des </w:t>
      </w:r>
      <w:r w:rsidRPr="00B27331">
        <w:rPr>
          <w:b/>
        </w:rPr>
        <w:t>Profils par pays</w:t>
      </w:r>
      <w:r w:rsidRPr="00B27331">
        <w:t xml:space="preserve"> (</w:t>
      </w:r>
      <w:r w:rsidRPr="00B27331">
        <w:rPr>
          <w:i/>
        </w:rPr>
        <w:t>Country overviews</w:t>
      </w:r>
      <w:r w:rsidRPr="00B27331">
        <w:t xml:space="preserve">), présentant pour chacun des données et une analyse spécifique. </w:t>
      </w:r>
    </w:p>
    <w:p w:rsidR="00BF67CB" w:rsidRPr="000567FE" w:rsidRDefault="00B27331" w:rsidP="00B27331">
      <w:pPr>
        <w:pStyle w:val="newsContent"/>
      </w:pPr>
      <w:r w:rsidRPr="00B27331">
        <w:t xml:space="preserve">Une version pour tablette de cette synthèse, comprenant cartes et graphiques interactifs, sera disponible en anglais. </w:t>
      </w:r>
      <w:r w:rsidRPr="008C1B94">
        <w:t>Du matériel audiovisuel sera également proposé.</w:t>
      </w:r>
    </w:p>
    <w:p w:rsidR="008C1B94" w:rsidRPr="008C1B94" w:rsidRDefault="008C1B94" w:rsidP="008C1B94">
      <w:pPr>
        <w:pStyle w:val="MaintextstyleBlack"/>
        <w:tabs>
          <w:tab w:val="left" w:pos="1658"/>
        </w:tabs>
        <w:rPr>
          <w:rFonts w:cs="Arial"/>
          <w:lang w:val="fr-FR"/>
        </w:rPr>
      </w:pPr>
      <w:r w:rsidRPr="008C1B94">
        <w:rPr>
          <w:rFonts w:cs="Arial"/>
          <w:lang w:val="fr-FR"/>
        </w:rPr>
        <w:t xml:space="preserve">Pour en savoir plus, consultez la page </w:t>
      </w:r>
      <w:hyperlink r:id="rId11" w:history="1">
        <w:r w:rsidRPr="008C1B94">
          <w:rPr>
            <w:rFonts w:cs="Arial"/>
            <w:color w:val="0000FF"/>
            <w:lang w:val="fr-FR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8C1B94" w:rsidRPr="008C1B94" w:rsidTr="0024337D">
        <w:tc>
          <w:tcPr>
            <w:tcW w:w="8414" w:type="dxa"/>
            <w:shd w:val="clear" w:color="auto" w:fill="DFE0ED"/>
          </w:tcPr>
          <w:p w:rsidR="008C1B94" w:rsidRPr="008C1B94" w:rsidRDefault="008C1B94" w:rsidP="008C1B9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8C1B94">
              <w:rPr>
                <w:rFonts w:ascii="Arial" w:hAnsi="Arial" w:cs="Arial"/>
                <w:b/>
                <w:sz w:val="20"/>
                <w:szCs w:val="20"/>
              </w:rPr>
              <w:t>Date de lancement</w:t>
            </w:r>
            <w:r w:rsidRPr="008C1B94">
              <w:rPr>
                <w:rFonts w:ascii="Arial" w:eastAsia="SimSun" w:hAnsi="Arial" w:cs="Arial"/>
                <w:b/>
                <w:sz w:val="20"/>
                <w:szCs w:val="20"/>
              </w:rPr>
              <w:t>:</w:t>
            </w:r>
            <w:r w:rsidRPr="008C1B94">
              <w:rPr>
                <w:rFonts w:ascii="Arial" w:eastAsia="SimSun" w:hAnsi="Arial" w:cs="Arial"/>
                <w:sz w:val="20"/>
                <w:szCs w:val="20"/>
              </w:rPr>
              <w:t xml:space="preserve"> mardi 27 mai 2014</w:t>
            </w:r>
          </w:p>
          <w:p w:rsidR="008C1B94" w:rsidRPr="008C1B94" w:rsidRDefault="008C1B94" w:rsidP="008C1B9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8C1B94">
              <w:rPr>
                <w:rFonts w:ascii="Arial" w:hAnsi="Arial" w:cs="Arial"/>
                <w:b/>
                <w:sz w:val="20"/>
                <w:szCs w:val="20"/>
              </w:rPr>
              <w:t>Heure</w:t>
            </w:r>
            <w:r w:rsidRPr="008C1B94">
              <w:rPr>
                <w:rFonts w:ascii="Arial" w:eastAsia="SimSun" w:hAnsi="Arial" w:cs="Arial"/>
                <w:b/>
                <w:sz w:val="20"/>
                <w:szCs w:val="20"/>
              </w:rPr>
              <w:t>:</w:t>
            </w:r>
            <w:r w:rsidR="006F3B44"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8C1B94">
              <w:rPr>
                <w:rFonts w:ascii="Arial" w:hAnsi="Arial" w:cs="Arial"/>
                <w:sz w:val="20"/>
                <w:szCs w:val="20"/>
              </w:rPr>
              <w:t>10h00 heure d’Europe de l’ouest (Lisbonne) (11h00 heure d’Europe centrale)</w:t>
            </w:r>
          </w:p>
          <w:p w:rsidR="008C1B94" w:rsidRPr="008C1B94" w:rsidRDefault="008C1B94" w:rsidP="008C1B9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C1B94">
              <w:rPr>
                <w:rFonts w:ascii="Arial" w:hAnsi="Arial" w:cs="Arial"/>
                <w:b/>
                <w:sz w:val="20"/>
                <w:szCs w:val="20"/>
              </w:rPr>
              <w:t xml:space="preserve">Lieu de la conférence de presse: </w:t>
            </w:r>
            <w:r w:rsidRPr="008C1B94">
              <w:rPr>
                <w:rFonts w:ascii="Arial" w:hAnsi="Arial" w:cs="Arial"/>
                <w:sz w:val="20"/>
                <w:szCs w:val="20"/>
              </w:rPr>
              <w:t>EMCDDA, Cais do Sodré, 1249-289, Lisbonne</w:t>
            </w:r>
          </w:p>
          <w:p w:rsidR="008C1B94" w:rsidRPr="008C1B94" w:rsidRDefault="008C1B94" w:rsidP="008C1B9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8C1B94">
              <w:rPr>
                <w:rFonts w:ascii="Arial" w:hAnsi="Arial" w:cs="Arial"/>
                <w:b/>
                <w:sz w:val="20"/>
                <w:szCs w:val="20"/>
              </w:rPr>
              <w:t>Entretiens</w:t>
            </w:r>
            <w:r w:rsidRPr="008C1B94">
              <w:rPr>
                <w:rFonts w:ascii="Arial" w:eastAsia="SimSun" w:hAnsi="Arial" w:cs="Arial"/>
                <w:b/>
                <w:sz w:val="20"/>
                <w:szCs w:val="20"/>
              </w:rPr>
              <w:t>:</w:t>
            </w:r>
            <w:r w:rsidR="006F3B44"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8C1B94">
              <w:rPr>
                <w:rFonts w:ascii="Arial" w:hAnsi="Arial" w:cs="Arial"/>
                <w:sz w:val="20"/>
                <w:szCs w:val="20"/>
              </w:rPr>
              <w:t>des représentants de l’EMCDDA seront disponibles le jour du lancement à Lisbonne pour répondre aux questions des journalistes.</w:t>
            </w:r>
            <w:r w:rsidR="006F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1B94">
              <w:rPr>
                <w:rFonts w:ascii="Arial" w:hAnsi="Arial" w:cs="Arial"/>
                <w:sz w:val="20"/>
                <w:szCs w:val="20"/>
              </w:rPr>
              <w:t>Dans toute l’Europe, les points focaux nationaux du Reitox répondront aux questions spécifiques pour chaque pays (voir le lien ci-dessus pour plus de détails concernant les entretiens)</w:t>
            </w:r>
            <w:bookmarkStart w:id="0" w:name="_GoBack"/>
            <w:bookmarkEnd w:id="0"/>
          </w:p>
          <w:p w:rsidR="008C1B94" w:rsidRPr="006F3B44" w:rsidRDefault="008C1B94" w:rsidP="008C1B9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6F3B44">
              <w:rPr>
                <w:rFonts w:ascii="Arial" w:hAnsi="Arial" w:cs="Arial"/>
                <w:b/>
                <w:sz w:val="20"/>
                <w:szCs w:val="20"/>
              </w:rPr>
              <w:t>Médias sociaux:</w:t>
            </w:r>
            <w:r w:rsidR="006F3B44" w:rsidRPr="006F3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Pr="006F3B44">
                <w:rPr>
                  <w:rStyle w:val="Hyperlink"/>
                  <w:rFonts w:cs="Arial"/>
                  <w:sz w:val="20"/>
                  <w:szCs w:val="20"/>
                </w:rPr>
                <w:t>twitter.com/emcdda</w:t>
              </w:r>
            </w:hyperlink>
            <w:r w:rsidR="006F3B44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  <w:r w:rsidRPr="006F3B44">
              <w:rPr>
                <w:rStyle w:val="Bullettoseparatelanguage1"/>
                <w:rFonts w:eastAsia="SimSun" w:cs="Arial"/>
                <w:sz w:val="20"/>
                <w:szCs w:val="20"/>
              </w:rPr>
              <w:t>•</w:t>
            </w:r>
            <w:r w:rsidR="006F3B44">
              <w:rPr>
                <w:rStyle w:val="Bullettoseparatelanguage1"/>
                <w:rFonts w:eastAsia="SimSun" w:cs="Arial"/>
                <w:sz w:val="20"/>
                <w:szCs w:val="20"/>
              </w:rPr>
              <w:t xml:space="preserve"> </w:t>
            </w:r>
            <w:hyperlink r:id="rId13" w:history="1">
              <w:r w:rsidRPr="006F3B44">
                <w:rPr>
                  <w:rStyle w:val="Hyperlink"/>
                  <w:rFonts w:cs="Arial"/>
                  <w:sz w:val="20"/>
                  <w:szCs w:val="20"/>
                </w:rPr>
                <w:t>www.facebook.com/emcdda</w:t>
              </w:r>
            </w:hyperlink>
          </w:p>
          <w:p w:rsidR="008C1B94" w:rsidRPr="008C1B94" w:rsidRDefault="008C1B94" w:rsidP="008C1B94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8C1B94">
              <w:rPr>
                <w:rFonts w:ascii="Arial" w:hAnsi="Arial" w:cs="Arial"/>
                <w:b/>
                <w:sz w:val="20"/>
                <w:szCs w:val="20"/>
              </w:rPr>
              <w:t>S’inscrire à notre flux d’informations RSS:</w:t>
            </w:r>
            <w:r w:rsidR="006F3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4" w:history="1">
              <w:r w:rsidRPr="008C1B94">
                <w:rPr>
                  <w:rStyle w:val="Hyperlink"/>
                  <w:rFonts w:cs="Arial"/>
                  <w:sz w:val="20"/>
                  <w:szCs w:val="20"/>
                  <w:lang w:val="fr-LU"/>
                </w:rPr>
                <w:t>www.emcdda.europa.eu/rss</w:t>
              </w:r>
            </w:hyperlink>
          </w:p>
        </w:tc>
      </w:tr>
    </w:tbl>
    <w:p w:rsidR="008C1B94" w:rsidRPr="008C1B94" w:rsidRDefault="008C1B94" w:rsidP="008C1B94">
      <w:pPr>
        <w:rPr>
          <w:rFonts w:ascii="Arial" w:hAnsi="Arial" w:cs="Arial"/>
          <w:sz w:val="20"/>
          <w:szCs w:val="20"/>
        </w:rPr>
      </w:pPr>
    </w:p>
    <w:p w:rsidR="00BF67CB" w:rsidRPr="008C1B94" w:rsidRDefault="00BF67CB" w:rsidP="008C1B94">
      <w:pPr>
        <w:pStyle w:val="newsContent"/>
      </w:pPr>
    </w:p>
    <w:sectPr w:rsidR="00BF67CB" w:rsidRPr="008C1B94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7D" w:rsidRDefault="0024337D" w:rsidP="009A28FB">
      <w:pPr>
        <w:spacing w:after="0" w:line="240" w:lineRule="auto"/>
      </w:pPr>
      <w:r>
        <w:separator/>
      </w:r>
    </w:p>
  </w:endnote>
  <w:endnote w:type="continuationSeparator" w:id="0">
    <w:p w:rsidR="0024337D" w:rsidRDefault="0024337D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24337D" w:rsidTr="00D37865">
      <w:tc>
        <w:tcPr>
          <w:tcW w:w="1444" w:type="dxa"/>
        </w:tcPr>
        <w:p w:rsidR="0024337D" w:rsidRDefault="006F3B44" w:rsidP="00D37865">
          <w:pPr>
            <w:pStyle w:val="newsCoordinates"/>
          </w:pPr>
          <w:r>
            <w:rPr>
              <w:noProof/>
              <w:lang w:val="en-GB" w:eastAsia="en-GB"/>
            </w:rPr>
            <w:pict>
              <v:line id="Straight Connector 14" o:spid="_x0000_s6146" style="position:absolute;left:0;text-align:lef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<w10:wrap anchorx="page" anchory="page"/>
              </v:line>
            </w:pict>
          </w:r>
          <w:r w:rsidR="0024337D"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24337D" w:rsidRDefault="0024337D" w:rsidP="00BF1E3B">
          <w:pPr>
            <w:pStyle w:val="newsReference"/>
            <w:jc w:val="right"/>
          </w:pPr>
        </w:p>
      </w:tc>
    </w:tr>
  </w:tbl>
  <w:p w:rsidR="0024337D" w:rsidRDefault="002433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24337D" w:rsidTr="0024337D">
      <w:tc>
        <w:tcPr>
          <w:tcW w:w="7196" w:type="dxa"/>
        </w:tcPr>
        <w:p w:rsidR="0024337D" w:rsidRDefault="0024337D" w:rsidP="0024337D">
          <w:pPr>
            <w:pStyle w:val="newsCoordinates"/>
          </w:pPr>
          <w:r w:rsidRPr="0081623D">
            <w:t>Contact: Kathy Robertson, Relations avec les médias</w:t>
          </w:r>
          <w:r w:rsidR="006F3B44">
            <w:rPr>
              <w:noProof/>
              <w:lang w:val="en-GB" w:eastAsia="en-GB"/>
            </w:rPr>
            <w:pict>
              <v:line id="Straight Connector 4" o:spid="_x0000_s6145" style="position:absolute;left:0;text-align:left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<w10:wrap anchorx="page" anchory="page"/>
              </v:line>
            </w:pict>
          </w:r>
        </w:p>
        <w:p w:rsidR="0024337D" w:rsidRPr="00B20666" w:rsidRDefault="0024337D" w:rsidP="0024337D">
          <w:pPr>
            <w:pStyle w:val="newsCoordinates"/>
            <w:rPr>
              <w:lang w:val="pt-PT"/>
            </w:rPr>
          </w:pPr>
          <w:r w:rsidRPr="00B20666">
            <w:rPr>
              <w:lang w:val="pt-PT"/>
            </w:rPr>
            <w:t>Praça Europa 1, Cais do Sodré, 1249-289 Lisbonne, Portugal</w:t>
          </w:r>
        </w:p>
        <w:p w:rsidR="0024337D" w:rsidRPr="000567FE" w:rsidRDefault="0024337D" w:rsidP="0081623D">
          <w:pPr>
            <w:pStyle w:val="newsCoordinates"/>
            <w:rPr>
              <w:lang w:val="en-US"/>
            </w:rPr>
          </w:pPr>
          <w:r w:rsidRPr="000567FE">
            <w:rPr>
              <w:lang w:val="en-US"/>
            </w:rPr>
            <w:t>Tél. (351) 211 21 02 00</w:t>
          </w:r>
          <w:r w:rsidRPr="000567FE">
            <w:rPr>
              <w:sz w:val="18"/>
              <w:lang w:val="en-US"/>
            </w:rPr>
            <w:t xml:space="preserve">I </w:t>
          </w:r>
          <w:r w:rsidRPr="000567FE">
            <w:rPr>
              <w:lang w:val="en-US"/>
            </w:rPr>
            <w:t xml:space="preserve">press@emcdda.europa.eu </w:t>
          </w:r>
          <w:r w:rsidRPr="000567FE">
            <w:rPr>
              <w:sz w:val="18"/>
              <w:lang w:val="en-US"/>
            </w:rPr>
            <w:t>I</w:t>
          </w:r>
          <w:r w:rsidRPr="000567FE">
            <w:rPr>
              <w:lang w:val="en-US"/>
            </w:rPr>
            <w:t xml:space="preserve"> emcdda.europa.eu</w:t>
          </w:r>
        </w:p>
      </w:tc>
      <w:tc>
        <w:tcPr>
          <w:tcW w:w="3294" w:type="dxa"/>
          <w:vAlign w:val="bottom"/>
        </w:tcPr>
        <w:p w:rsidR="0024337D" w:rsidRDefault="0024337D" w:rsidP="008C1B94">
          <w:pPr>
            <w:pStyle w:val="newsReference"/>
            <w:jc w:val="right"/>
          </w:pPr>
          <w:r>
            <w:t>FR — N° 2</w:t>
          </w:r>
          <w:r w:rsidRPr="0081623D">
            <w:t>/</w:t>
          </w:r>
          <w:r>
            <w:t>2014</w:t>
          </w:r>
        </w:p>
      </w:tc>
    </w:tr>
  </w:tbl>
  <w:p w:rsidR="0024337D" w:rsidRDefault="002433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7D" w:rsidRDefault="0024337D" w:rsidP="009A28FB">
      <w:pPr>
        <w:spacing w:after="0" w:line="240" w:lineRule="auto"/>
      </w:pPr>
      <w:r>
        <w:separator/>
      </w:r>
    </w:p>
  </w:footnote>
  <w:footnote w:type="continuationSeparator" w:id="0">
    <w:p w:rsidR="0024337D" w:rsidRDefault="0024337D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24337D" w:rsidTr="00BF1E3B">
      <w:tc>
        <w:tcPr>
          <w:tcW w:w="7196" w:type="dxa"/>
        </w:tcPr>
        <w:p w:rsidR="0024337D" w:rsidRDefault="006F3B44" w:rsidP="00CC4FDA">
          <w:pPr>
            <w:pStyle w:val="newsEmbargo"/>
          </w:pPr>
          <w:r>
            <w:rPr>
              <w:noProof/>
              <w:lang w:val="en-GB" w:eastAsia="en-GB"/>
            </w:rPr>
            <w:pict>
              <v:line id="Straight Connector 11" o:spid="_x0000_s6147" style="position:absolute;left:0;text-align:left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<w10:wrap anchorx="page" anchory="page"/>
              </v:line>
            </w:pict>
          </w:r>
          <w:r w:rsidR="0024337D" w:rsidRPr="00CC4FDA">
            <w:rPr>
              <w:noProof/>
              <w:lang w:eastAsia="en-GB"/>
            </w:rPr>
            <w:t xml:space="preserve">Plauda quaepuda disin rerrovita aut labo </w:t>
          </w:r>
          <w:r w:rsidR="0024337D" w:rsidRPr="00CC4FDA">
            <w:rPr>
              <w:noProof/>
              <w:sz w:val="18"/>
              <w:lang w:eastAsia="en-GB"/>
            </w:rPr>
            <w:t>I</w:t>
          </w:r>
          <w:r w:rsidR="0024337D"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24337D" w:rsidRDefault="0024337D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24337D" w:rsidRDefault="002433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666"/>
    <w:rsid w:val="00014E8E"/>
    <w:rsid w:val="00036DAA"/>
    <w:rsid w:val="000535B7"/>
    <w:rsid w:val="000567FE"/>
    <w:rsid w:val="00067DD3"/>
    <w:rsid w:val="00075735"/>
    <w:rsid w:val="000C6200"/>
    <w:rsid w:val="000D25B6"/>
    <w:rsid w:val="00105BFC"/>
    <w:rsid w:val="00107C96"/>
    <w:rsid w:val="0017713E"/>
    <w:rsid w:val="001800D0"/>
    <w:rsid w:val="001A3338"/>
    <w:rsid w:val="001B0230"/>
    <w:rsid w:val="001C795A"/>
    <w:rsid w:val="001D5C26"/>
    <w:rsid w:val="001E39A7"/>
    <w:rsid w:val="001F70B4"/>
    <w:rsid w:val="00223753"/>
    <w:rsid w:val="0024337D"/>
    <w:rsid w:val="002557B0"/>
    <w:rsid w:val="002646E4"/>
    <w:rsid w:val="0027252D"/>
    <w:rsid w:val="0028141E"/>
    <w:rsid w:val="002948E2"/>
    <w:rsid w:val="002A61F7"/>
    <w:rsid w:val="002B05CE"/>
    <w:rsid w:val="002B45AC"/>
    <w:rsid w:val="0030486D"/>
    <w:rsid w:val="00317B5A"/>
    <w:rsid w:val="0033158E"/>
    <w:rsid w:val="0036121D"/>
    <w:rsid w:val="00387D02"/>
    <w:rsid w:val="003B41B1"/>
    <w:rsid w:val="003C0395"/>
    <w:rsid w:val="004137B0"/>
    <w:rsid w:val="004221D3"/>
    <w:rsid w:val="0044111C"/>
    <w:rsid w:val="00445080"/>
    <w:rsid w:val="0045468D"/>
    <w:rsid w:val="00474AC8"/>
    <w:rsid w:val="004847FB"/>
    <w:rsid w:val="004C3028"/>
    <w:rsid w:val="004D6E0C"/>
    <w:rsid w:val="00520EF1"/>
    <w:rsid w:val="00542CEE"/>
    <w:rsid w:val="005A0DC8"/>
    <w:rsid w:val="005B05A0"/>
    <w:rsid w:val="005B0882"/>
    <w:rsid w:val="005B1B63"/>
    <w:rsid w:val="005C4033"/>
    <w:rsid w:val="005E734D"/>
    <w:rsid w:val="006116D9"/>
    <w:rsid w:val="00623A55"/>
    <w:rsid w:val="0063677C"/>
    <w:rsid w:val="00666A63"/>
    <w:rsid w:val="0069096E"/>
    <w:rsid w:val="006F3B44"/>
    <w:rsid w:val="007003A8"/>
    <w:rsid w:val="00730132"/>
    <w:rsid w:val="00773814"/>
    <w:rsid w:val="00785815"/>
    <w:rsid w:val="00791F09"/>
    <w:rsid w:val="007920E3"/>
    <w:rsid w:val="007927D2"/>
    <w:rsid w:val="007B0E03"/>
    <w:rsid w:val="007B1CCD"/>
    <w:rsid w:val="00813FB5"/>
    <w:rsid w:val="0081623D"/>
    <w:rsid w:val="00837F8F"/>
    <w:rsid w:val="00841E86"/>
    <w:rsid w:val="00860C28"/>
    <w:rsid w:val="00881730"/>
    <w:rsid w:val="008C1172"/>
    <w:rsid w:val="008C1B94"/>
    <w:rsid w:val="008D54B3"/>
    <w:rsid w:val="008F177B"/>
    <w:rsid w:val="008F399E"/>
    <w:rsid w:val="00902300"/>
    <w:rsid w:val="00944227"/>
    <w:rsid w:val="00955F0C"/>
    <w:rsid w:val="00974A27"/>
    <w:rsid w:val="009A28FB"/>
    <w:rsid w:val="009D6255"/>
    <w:rsid w:val="00A0788A"/>
    <w:rsid w:val="00A311EF"/>
    <w:rsid w:val="00A3254D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0666"/>
    <w:rsid w:val="00B272F1"/>
    <w:rsid w:val="00B27331"/>
    <w:rsid w:val="00B51E08"/>
    <w:rsid w:val="00B57464"/>
    <w:rsid w:val="00B61036"/>
    <w:rsid w:val="00B72DD3"/>
    <w:rsid w:val="00B7335C"/>
    <w:rsid w:val="00B97BC5"/>
    <w:rsid w:val="00BB60CF"/>
    <w:rsid w:val="00BF1E3B"/>
    <w:rsid w:val="00BF67CB"/>
    <w:rsid w:val="00C27B81"/>
    <w:rsid w:val="00C36BC1"/>
    <w:rsid w:val="00C426F8"/>
    <w:rsid w:val="00C628C4"/>
    <w:rsid w:val="00C63254"/>
    <w:rsid w:val="00C642E9"/>
    <w:rsid w:val="00C71C86"/>
    <w:rsid w:val="00C874C0"/>
    <w:rsid w:val="00CA2FF5"/>
    <w:rsid w:val="00CB49DA"/>
    <w:rsid w:val="00CC3BA1"/>
    <w:rsid w:val="00CC4FDA"/>
    <w:rsid w:val="00CC6A8B"/>
    <w:rsid w:val="00D01335"/>
    <w:rsid w:val="00D03EC6"/>
    <w:rsid w:val="00D3312B"/>
    <w:rsid w:val="00D37865"/>
    <w:rsid w:val="00D57367"/>
    <w:rsid w:val="00D84AE3"/>
    <w:rsid w:val="00D92A34"/>
    <w:rsid w:val="00DC21FE"/>
    <w:rsid w:val="00DC485E"/>
    <w:rsid w:val="00E233F5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249CD"/>
    <w:rsid w:val="00F414EF"/>
    <w:rsid w:val="00F47542"/>
    <w:rsid w:val="00FB351B"/>
    <w:rsid w:val="00FC0187"/>
    <w:rsid w:val="00FE3721"/>
    <w:rsid w:val="00FE4789"/>
    <w:rsid w:val="00FF06F9"/>
    <w:rsid w:val="00FF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A1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81623D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81623D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81623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81623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81623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81623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81623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81623D"/>
    <w:rPr>
      <w:rFonts w:ascii="Arial" w:hAnsi="Arial"/>
      <w:color w:val="000000" w:themeColor="text1"/>
      <w:sz w:val="20"/>
      <w:lang w:val="fr-FR"/>
    </w:rPr>
  </w:style>
  <w:style w:type="character" w:customStyle="1" w:styleId="newsNotesChar">
    <w:name w:val="newsNotes Char"/>
    <w:basedOn w:val="newsContentChar"/>
    <w:link w:val="newsNotes"/>
    <w:rsid w:val="0081623D"/>
    <w:rPr>
      <w:rFonts w:ascii="Arial" w:hAnsi="Arial"/>
      <w:color w:val="000000" w:themeColor="text1"/>
      <w:sz w:val="17"/>
      <w:lang w:val="fr-FR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r-FR"/>
    </w:rPr>
  </w:style>
  <w:style w:type="character" w:customStyle="1" w:styleId="Bullettoseparatelanguage1">
    <w:name w:val="Bullet to separate language 1"/>
    <w:rsid w:val="008C1B94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8C1B94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815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15"/>
    <w:rPr>
      <w:b/>
      <w:bCs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81623D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81623D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81623D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81623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81623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81623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81623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81623D"/>
    <w:rPr>
      <w:rFonts w:ascii="Arial" w:hAnsi="Arial"/>
      <w:color w:val="000000" w:themeColor="text1"/>
      <w:sz w:val="20"/>
      <w:lang w:val="fr-FR"/>
    </w:rPr>
  </w:style>
  <w:style w:type="character" w:customStyle="1" w:styleId="newsNotesChar">
    <w:name w:val="newsNotes Char"/>
    <w:basedOn w:val="newsContentChar"/>
    <w:link w:val="newsNotes"/>
    <w:rsid w:val="0081623D"/>
    <w:rPr>
      <w:rFonts w:ascii="Arial" w:hAnsi="Arial"/>
      <w:color w:val="000000" w:themeColor="text1"/>
      <w:sz w:val="17"/>
      <w:lang w:val="fr-FR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r-FR"/>
    </w:rPr>
  </w:style>
  <w:style w:type="character" w:customStyle="1" w:styleId="Bullettoseparatelanguage1">
    <w:name w:val="Bullet to separate language 1"/>
    <w:rsid w:val="008C1B94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8C1B94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815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15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FE21-7056-432C-8A7B-89919124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news-release-FR</Template>
  <TotalTime>10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News release FR</vt:lpstr>
      <vt:lpstr>News release FR</vt:lpstr>
    </vt:vector>
  </TitlesOfParts>
  <Manager>EMCDDA</Manager>
  <Company>EMCDDA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FR</dc:title>
  <dc:subject>News release FR</dc:subject>
  <dc:creator>Kathryn Robertson</dc:creator>
  <cp:lastModifiedBy>Kathryn Robertson</cp:lastModifiedBy>
  <cp:revision>6</cp:revision>
  <cp:lastPrinted>2014-04-24T13:26:00Z</cp:lastPrinted>
  <dcterms:created xsi:type="dcterms:W3CDTF">2014-04-24T11:45:00Z</dcterms:created>
  <dcterms:modified xsi:type="dcterms:W3CDTF">2014-04-24T13:28:00Z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FR</vt:lpwstr>
  </property>
</Properties>
</file>