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70" w:rightFromText="170" w:vertAnchor="page" w:horzAnchor="margin" w:tblpXSpec="center" w:tblpY="710"/>
        <w:tblW w:w="5615" w:type="pct"/>
        <w:tblLayout w:type="fixed"/>
        <w:tblCellMar>
          <w:left w:w="142" w:type="dxa"/>
          <w:right w:w="0" w:type="dxa"/>
        </w:tblCellMar>
        <w:tblLook w:val="0080" w:firstRow="0" w:lastRow="0" w:firstColumn="1" w:lastColumn="0" w:noHBand="0" w:noVBand="0"/>
      </w:tblPr>
      <w:tblGrid>
        <w:gridCol w:w="4972"/>
        <w:gridCol w:w="5692"/>
      </w:tblGrid>
      <w:tr w:rsidR="008A785B" w:rsidRPr="005E3762">
        <w:trPr>
          <w:trHeight w:val="1695"/>
        </w:trPr>
        <w:tc>
          <w:tcPr>
            <w:tcW w:w="2331" w:type="pct"/>
          </w:tcPr>
          <w:p w:rsidR="008A785B" w:rsidRPr="005E3762" w:rsidRDefault="004432E8" w:rsidP="005E3762">
            <w:pPr>
              <w:spacing w:after="0"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28.75pt;height:45.75pt;visibility:visible">
                  <v:imagedata r:id="rId8" o:title=""/>
                </v:shape>
              </w:pict>
            </w:r>
          </w:p>
        </w:tc>
        <w:tc>
          <w:tcPr>
            <w:tcW w:w="2669" w:type="pct"/>
          </w:tcPr>
          <w:p w:rsidR="008A785B" w:rsidRPr="005E3762" w:rsidRDefault="008A785B" w:rsidP="005E3762">
            <w:pPr>
              <w:spacing w:after="0" w:line="240" w:lineRule="auto"/>
            </w:pPr>
          </w:p>
        </w:tc>
      </w:tr>
    </w:tbl>
    <w:p w:rsidR="00F07376" w:rsidRPr="00F07376" w:rsidRDefault="00F07376" w:rsidP="00F07376">
      <w:pPr>
        <w:spacing w:after="0"/>
        <w:rPr>
          <w:vanish/>
        </w:rPr>
      </w:pPr>
    </w:p>
    <w:tbl>
      <w:tblPr>
        <w:tblW w:w="12796" w:type="dxa"/>
        <w:tblInd w:w="-1271" w:type="dxa"/>
        <w:tblCellMar>
          <w:left w:w="0" w:type="dxa"/>
          <w:right w:w="0" w:type="dxa"/>
        </w:tblCellMar>
        <w:tblLook w:val="00A0" w:firstRow="1" w:lastRow="0" w:firstColumn="1" w:lastColumn="0" w:noHBand="0" w:noVBand="0"/>
      </w:tblPr>
      <w:tblGrid>
        <w:gridCol w:w="12796"/>
      </w:tblGrid>
      <w:tr w:rsidR="008A785B" w:rsidRPr="005E3762">
        <w:trPr>
          <w:trHeight w:val="1304"/>
        </w:trPr>
        <w:tc>
          <w:tcPr>
            <w:tcW w:w="12796" w:type="dxa"/>
            <w:vAlign w:val="bottom"/>
          </w:tcPr>
          <w:p w:rsidR="008A785B" w:rsidRPr="005E3762" w:rsidRDefault="004432E8" w:rsidP="005E3762">
            <w:pPr>
              <w:spacing w:after="0" w:line="240" w:lineRule="auto"/>
            </w:pPr>
            <w:r>
              <w:rPr>
                <w:noProof/>
              </w:rPr>
              <w:pict>
                <v:shape id="Picture 5" o:spid="_x0000_i1026" type="#_x0000_t75" style="width:595.5pt;height:1in;visibility:visible">
                  <v:imagedata r:id="rId9" o:title=""/>
                </v:shape>
              </w:pict>
            </w:r>
          </w:p>
        </w:tc>
      </w:tr>
    </w:tbl>
    <w:p w:rsidR="008A785B" w:rsidRPr="002504CE" w:rsidRDefault="008A785B" w:rsidP="002504CE">
      <w:pPr>
        <w:pStyle w:val="newsTitle"/>
        <w:rPr>
          <w:b/>
          <w:bCs/>
        </w:rPr>
      </w:pPr>
      <w:r w:rsidRPr="002504CE">
        <w:t xml:space="preserve">Ευρωπαϊκή έκθεση για τα ναρκωτικά 2014 - προοπτικές για τα ναρκωτικά </w:t>
      </w:r>
    </w:p>
    <w:p w:rsidR="008A785B" w:rsidRPr="002129CB" w:rsidRDefault="008A785B" w:rsidP="002129CB">
      <w:pPr>
        <w:pStyle w:val="newsSubTitle"/>
      </w:pPr>
      <w:r w:rsidRPr="002129CB">
        <w:t>Ο οργανισμός της ΕΕ για τα ναρκωτικά φέρνει έξι θέματα στο προσκήνιο με νέες επιγραμμικές αναλύσεις</w:t>
      </w:r>
    </w:p>
    <w:p w:rsidR="008A785B" w:rsidRPr="00A519DC" w:rsidRDefault="008A785B" w:rsidP="00935F6F">
      <w:pPr>
        <w:pStyle w:val="newsContent"/>
      </w:pPr>
      <w:r>
        <w:t xml:space="preserve">(27.5.2014, ΛΙΣΑΒΟΝΑ </w:t>
      </w:r>
      <w:r w:rsidRPr="002129CB">
        <w:rPr>
          <w:b/>
          <w:color w:val="FF0000"/>
        </w:rPr>
        <w:t>ΑΠΑΓΟΡΕΥΕΤΑΙ Η ΔΗΜΟΣΙΕΥΣΗ ΕΩΣ 10:00 ώρα Δυτικής Ευρώπης/ώρα Λισαβόνας</w:t>
      </w:r>
      <w:r>
        <w:t xml:space="preserve">) Ο </w:t>
      </w:r>
      <w:r>
        <w:rPr>
          <w:b/>
          <w:bCs/>
        </w:rPr>
        <w:t>οργανισμός της ΕΕ για τα ναρκωτικά (EMCDDA)</w:t>
      </w:r>
      <w:r>
        <w:t xml:space="preserve">, μαζί με την </w:t>
      </w:r>
      <w:r>
        <w:rPr>
          <w:b/>
          <w:bCs/>
          <w:i/>
          <w:iCs/>
        </w:rPr>
        <w:t>Ευρωπαϊκή έκθεση για τα ναρκωτικά</w:t>
      </w:r>
      <w:r>
        <w:t xml:space="preserve"> </w:t>
      </w:r>
      <w:r>
        <w:rPr>
          <w:b/>
          <w:bCs/>
          <w:i/>
          <w:iCs/>
        </w:rPr>
        <w:t>2014: τάσεις και εξελίξεις</w:t>
      </w:r>
      <w:r>
        <w:t xml:space="preserve">, παρουσιάζει σήμερα έξι νέες εκδόσεις της σειράς </w:t>
      </w:r>
      <w:r>
        <w:rPr>
          <w:b/>
          <w:bCs/>
        </w:rPr>
        <w:t>Προοπτικές για τα ναρκωτικά</w:t>
      </w:r>
      <w:r w:rsidR="002129CB">
        <w:t xml:space="preserve"> (</w:t>
      </w:r>
      <w:r w:rsidR="002129CB" w:rsidRPr="002129CB">
        <w:rPr>
          <w:i/>
        </w:rPr>
        <w:t>P</w:t>
      </w:r>
      <w:r w:rsidR="002129CB" w:rsidRPr="002129CB">
        <w:rPr>
          <w:i/>
          <w:lang w:val="en-GB"/>
        </w:rPr>
        <w:t>erspectives</w:t>
      </w:r>
      <w:r w:rsidR="002129CB" w:rsidRPr="002129CB">
        <w:rPr>
          <w:i/>
        </w:rPr>
        <w:t xml:space="preserve"> </w:t>
      </w:r>
      <w:r w:rsidR="002129CB" w:rsidRPr="002129CB">
        <w:rPr>
          <w:i/>
          <w:lang w:val="en-GB"/>
        </w:rPr>
        <w:t>on</w:t>
      </w:r>
      <w:r w:rsidR="002129CB" w:rsidRPr="002129CB">
        <w:rPr>
          <w:i/>
        </w:rPr>
        <w:t xml:space="preserve"> </w:t>
      </w:r>
      <w:r w:rsidR="002129CB" w:rsidRPr="002129CB">
        <w:rPr>
          <w:i/>
          <w:lang w:val="en-GB"/>
        </w:rPr>
        <w:t>Drugs</w:t>
      </w:r>
      <w:r w:rsidR="002129CB" w:rsidRPr="002129CB">
        <w:t xml:space="preserve"> — </w:t>
      </w:r>
      <w:r w:rsidR="002129CB">
        <w:rPr>
          <w:lang w:val="en-GB"/>
        </w:rPr>
        <w:t>P</w:t>
      </w:r>
      <w:r w:rsidR="002129CB">
        <w:t>ODs)</w:t>
      </w:r>
      <w:r>
        <w:t>. Αυτή η επιλογή επιγραμμικών, διαδραστικών αναλύσεων παρέχει την πλέον πρόσφατη επισκόπηση των βασικών πτυχών της κατάστασης των ναρκωτικών στην Ευρώπη. Οι PODs εξετάζουν τις αναδυόμενες ανησυχίες όσον αφορά τη χρήση διεγερτικών, τις τελευταίες εξελίξεις στην αγορά κάνναβης στην Ευρώπη, καθώς και την πρόοδο που συντελείται στις θεραπείες μέσω διαδικτύου και στην ανάλυση λυμάτων.</w:t>
      </w:r>
    </w:p>
    <w:p w:rsidR="008A785B" w:rsidRPr="00686810" w:rsidRDefault="008A785B" w:rsidP="00935F6F">
      <w:pPr>
        <w:pStyle w:val="newsContent"/>
      </w:pPr>
    </w:p>
    <w:p w:rsidR="008A785B" w:rsidRPr="00A519DC" w:rsidRDefault="008A785B" w:rsidP="00935F6F">
      <w:pPr>
        <w:pStyle w:val="newsContent"/>
      </w:pPr>
      <w:r>
        <w:rPr>
          <w:b/>
          <w:bCs/>
        </w:rPr>
        <w:t>Συνθετικές καθινόνες: ανησυχητική έκρηξη της ενέσιμης χρήσης σε τοπικό και εθνικό επίπεδο</w:t>
      </w:r>
    </w:p>
    <w:p w:rsidR="008A785B" w:rsidRDefault="008A785B" w:rsidP="00935F6F">
      <w:pPr>
        <w:pStyle w:val="newsContent"/>
      </w:pPr>
      <w:r>
        <w:t xml:space="preserve"> </w:t>
      </w:r>
    </w:p>
    <w:p w:rsidR="008A785B" w:rsidRDefault="008A785B" w:rsidP="00935F6F">
      <w:pPr>
        <w:spacing w:after="260" w:line="260" w:lineRule="exact"/>
        <w:rPr>
          <w:rFonts w:ascii="Arial" w:hAnsi="Arial" w:cs="Arial"/>
          <w:sz w:val="20"/>
          <w:szCs w:val="20"/>
        </w:rPr>
      </w:pPr>
      <w:r>
        <w:rPr>
          <w:rFonts w:ascii="Arial" w:hAnsi="Arial" w:cs="Arial"/>
          <w:sz w:val="20"/>
          <w:szCs w:val="20"/>
        </w:rPr>
        <w:t xml:space="preserve">Μεταξύ του 2005 και του 2013, ανιχνεύτηκαν περισσότερα από 50 παράγωγα συνθετικών καθινονών (διεγερτικών) μέσω του </w:t>
      </w:r>
      <w:r>
        <w:rPr>
          <w:rFonts w:ascii="Arial" w:hAnsi="Arial" w:cs="Arial"/>
          <w:b/>
          <w:bCs/>
          <w:sz w:val="20"/>
          <w:szCs w:val="20"/>
        </w:rPr>
        <w:t>Συστήματος Έγκαιρης Προειδοποίησης της ΕΕ</w:t>
      </w:r>
      <w:r>
        <w:rPr>
          <w:rFonts w:ascii="Arial" w:hAnsi="Arial" w:cs="Arial"/>
          <w:sz w:val="20"/>
          <w:szCs w:val="20"/>
        </w:rPr>
        <w:t xml:space="preserve"> </w:t>
      </w:r>
      <w:r>
        <w:rPr>
          <w:rFonts w:ascii="Arial" w:hAnsi="Arial" w:cs="Arial"/>
          <w:b/>
          <w:bCs/>
          <w:sz w:val="20"/>
          <w:szCs w:val="20"/>
        </w:rPr>
        <w:t>(EU–EWS)</w:t>
      </w:r>
      <w:r>
        <w:rPr>
          <w:rFonts w:ascii="Arial" w:hAnsi="Arial" w:cs="Arial"/>
          <w:sz w:val="20"/>
          <w:szCs w:val="20"/>
        </w:rPr>
        <w:t xml:space="preserve">. Στα παράγωγα που παρακολουθούνται από το EU–EWS συγκαταλέγονται: η μεφεδρόνη (η οποία αποτέλεσε αντικείμενο μέτρων ελέγχου στην ΕΕ το 2010), η MPDV (η οποία υποβλήθηκε σε αξιολόγηση κινδύνου τον Απρίλιο του 2014) και η πεντεδρόνη. Οι συνθετικές καθινόνες λαμβάνονται από τη μύτη σε μορφή σκόνης ή με κατάποση σε μορφή ταμπλέτας. Ωστόσο, το </w:t>
      </w:r>
      <w:r>
        <w:rPr>
          <w:rFonts w:ascii="Arial" w:hAnsi="Arial" w:cs="Arial"/>
          <w:b/>
          <w:bCs/>
          <w:sz w:val="20"/>
          <w:szCs w:val="20"/>
        </w:rPr>
        <w:t>EMCDDA</w:t>
      </w:r>
      <w:r>
        <w:rPr>
          <w:rFonts w:ascii="Arial" w:hAnsi="Arial" w:cs="Arial"/>
          <w:sz w:val="20"/>
          <w:szCs w:val="20"/>
        </w:rPr>
        <w:t xml:space="preserve"> ερευνά την ανησυχητική έκρηξη της ενέσιμης χρήσης αυτών των ουσιών πο</w:t>
      </w:r>
      <w:r w:rsidR="00870D11">
        <w:rPr>
          <w:rFonts w:ascii="Arial" w:hAnsi="Arial" w:cs="Arial"/>
          <w:sz w:val="20"/>
          <w:szCs w:val="20"/>
        </w:rPr>
        <w:t>υ παρατηρείται στις μέρες μας.</w:t>
      </w:r>
    </w:p>
    <w:p w:rsidR="008A785B" w:rsidRDefault="008A785B" w:rsidP="00935F6F">
      <w:pPr>
        <w:spacing w:after="260" w:line="260" w:lineRule="exact"/>
        <w:rPr>
          <w:rFonts w:ascii="Arial" w:hAnsi="Arial" w:cs="Arial"/>
          <w:sz w:val="20"/>
          <w:szCs w:val="20"/>
        </w:rPr>
      </w:pPr>
      <w:r>
        <w:rPr>
          <w:rFonts w:ascii="Arial" w:hAnsi="Arial" w:cs="Arial"/>
          <w:sz w:val="20"/>
          <w:szCs w:val="20"/>
        </w:rPr>
        <w:t xml:space="preserve">Παρότι η ενέσιμη χρήση καθινονών δεν είναι διαδεδομένη στην Ευρώπη, έχει παρατηρηθεί ως τοπικό πρόβλημα σε ομάδες χρηστών υψηλού κινδύνου σε ορισμένες χώρες (π.χ. </w:t>
      </w:r>
      <w:r>
        <w:rPr>
          <w:rFonts w:ascii="Arial" w:hAnsi="Arial" w:cs="Arial"/>
          <w:b/>
          <w:bCs/>
          <w:sz w:val="20"/>
          <w:szCs w:val="20"/>
        </w:rPr>
        <w:t>Τσεχική Δημοκρατία, Γερμανία, Ιρλανδία, Ισπανία, Αυστρία, Πολωνία, Φινλανδία, Σουηδία και Ηνωμένο Βασίλειο</w:t>
      </w:r>
      <w:r w:rsidRPr="002129CB">
        <w:rPr>
          <w:rFonts w:ascii="Arial" w:hAnsi="Arial" w:cs="Arial"/>
          <w:bCs/>
          <w:sz w:val="20"/>
          <w:szCs w:val="20"/>
        </w:rPr>
        <w:t>).</w:t>
      </w:r>
      <w:r w:rsidRPr="002129CB">
        <w:rPr>
          <w:rFonts w:ascii="Arial" w:hAnsi="Arial" w:cs="Arial"/>
          <w:sz w:val="20"/>
          <w:szCs w:val="20"/>
        </w:rPr>
        <w:t xml:space="preserve"> </w:t>
      </w:r>
      <w:r>
        <w:rPr>
          <w:rFonts w:ascii="Arial" w:hAnsi="Arial" w:cs="Arial"/>
          <w:sz w:val="20"/>
          <w:szCs w:val="20"/>
        </w:rPr>
        <w:t xml:space="preserve">Ωστόσο, στην </w:t>
      </w:r>
      <w:r>
        <w:rPr>
          <w:rFonts w:ascii="Arial" w:hAnsi="Arial" w:cs="Arial"/>
          <w:b/>
          <w:bCs/>
          <w:sz w:val="20"/>
          <w:szCs w:val="20"/>
        </w:rPr>
        <w:t>Ουγγαρία</w:t>
      </w:r>
      <w:r>
        <w:rPr>
          <w:rFonts w:ascii="Arial" w:hAnsi="Arial" w:cs="Arial"/>
          <w:sz w:val="20"/>
          <w:szCs w:val="20"/>
        </w:rPr>
        <w:t xml:space="preserve"> και τη </w:t>
      </w:r>
      <w:r>
        <w:rPr>
          <w:rFonts w:ascii="Arial" w:hAnsi="Arial" w:cs="Arial"/>
          <w:b/>
          <w:bCs/>
          <w:sz w:val="20"/>
          <w:szCs w:val="20"/>
        </w:rPr>
        <w:t>Ρουμανία</w:t>
      </w:r>
      <w:r>
        <w:rPr>
          <w:rFonts w:ascii="Arial" w:hAnsi="Arial" w:cs="Arial"/>
          <w:sz w:val="20"/>
          <w:szCs w:val="20"/>
        </w:rPr>
        <w:t xml:space="preserve"> έχει παρατηρηθεί μια πιο γενικευμένη πρακτική ενέσιμης χρήσης αυτών των ουσιών. Για παράδειγμα, μια εθνική έρευνα των προγραμμάτων ανταλλαγής βελονών και συριγγών στην </w:t>
      </w:r>
      <w:r>
        <w:rPr>
          <w:rFonts w:ascii="Arial" w:hAnsi="Arial" w:cs="Arial"/>
          <w:b/>
          <w:bCs/>
          <w:sz w:val="20"/>
          <w:szCs w:val="20"/>
        </w:rPr>
        <w:t>Ουγγαρία</w:t>
      </w:r>
      <w:r>
        <w:rPr>
          <w:rFonts w:ascii="Arial" w:hAnsi="Arial" w:cs="Arial"/>
          <w:sz w:val="20"/>
          <w:szCs w:val="20"/>
        </w:rPr>
        <w:t xml:space="preserve"> αποκάλυψε ότι το 2012, το 36% των συμμετεχόντων στο πρόγραμμα έκαναν ενέσιμη χρήση καθινονών ως κύριας ουσίας χρήσης. </w:t>
      </w:r>
    </w:p>
    <w:p w:rsidR="008A785B" w:rsidRPr="008D4910" w:rsidRDefault="008A785B" w:rsidP="00935F6F">
      <w:pPr>
        <w:spacing w:after="260" w:line="260" w:lineRule="exact"/>
        <w:rPr>
          <w:sz w:val="20"/>
          <w:szCs w:val="20"/>
        </w:rPr>
      </w:pPr>
      <w:r>
        <w:rPr>
          <w:rFonts w:ascii="Arial" w:hAnsi="Arial" w:cs="Arial"/>
          <w:sz w:val="20"/>
          <w:szCs w:val="20"/>
        </w:rPr>
        <w:t xml:space="preserve">Μια ιδιαίτερα ανησυχητική συμπεριφορά που παρατηρείται σε υπο-ομάδες ομοφυλόφιλων ανδρών είναι η ενέσιμη χρήση ενός συνδυασμού παράνομων ναρκωτικών (π.χ. καθινονών και μεθαμφεταμίνης) σε πάρτι όπου επιδίδονται στη σεξουαλική πράξη υπό την επήρεια χημικών ουσιών («chem sex»). Μέχρι σήμερα, αυτή η νέα πρακτική, που σχετίζεται με επικίνδυνες σεξουαλικές πρακτικές, έχει αναφερθεί σε ορισμένες μεγάλες πόλεις. Δεδομένου του ενδεχόμενου αντικτύπου των νεοεμφανιζόμενων τάσεων ενέσιμης χρήσης καθινονών που εντοπίστηκαν, η στενή παρακολούθηση του ζητήματος αποτελεί προτεραιότητα για τη δημόσια υγεία. </w:t>
      </w:r>
    </w:p>
    <w:p w:rsidR="008A785B" w:rsidRDefault="008A785B" w:rsidP="002504CE">
      <w:pPr>
        <w:keepNext/>
        <w:rPr>
          <w:rFonts w:ascii="Arial" w:hAnsi="Arial" w:cs="Arial"/>
          <w:b/>
          <w:bCs/>
          <w:sz w:val="20"/>
          <w:szCs w:val="20"/>
        </w:rPr>
      </w:pPr>
      <w:r>
        <w:rPr>
          <w:rFonts w:ascii="Arial" w:hAnsi="Arial" w:cs="Arial"/>
          <w:b/>
          <w:bCs/>
          <w:sz w:val="20"/>
          <w:szCs w:val="20"/>
        </w:rPr>
        <w:lastRenderedPageBreak/>
        <w:t>Μεθαμφεταμίνη: αυξανόμενη ανησυχία λόγω της εμφάνισης νέων και διαφορετικών χρήσεων</w:t>
      </w:r>
    </w:p>
    <w:p w:rsidR="008A785B" w:rsidRDefault="008A785B" w:rsidP="00935F6F">
      <w:pPr>
        <w:spacing w:after="260" w:line="260" w:lineRule="exact"/>
        <w:ind w:right="-285"/>
        <w:rPr>
          <w:rFonts w:ascii="Arial" w:hAnsi="Arial" w:cs="Arial"/>
          <w:sz w:val="20"/>
          <w:szCs w:val="20"/>
        </w:rPr>
      </w:pPr>
      <w:r>
        <w:rPr>
          <w:rFonts w:ascii="Arial" w:hAnsi="Arial" w:cs="Arial"/>
          <w:sz w:val="20"/>
          <w:szCs w:val="20"/>
        </w:rPr>
        <w:t xml:space="preserve">Η μεθαμφεταμίνη είναι ένα διεγερτικό ναρκωτικό που είναι διαδεδομένο σε πολλές περιοχές του κόσμου (π.χ. Νοτιοανατολική Ασία, ΗΠΑ), όπου έχει προκαλέσει σοβαρά προβλήματα δημόσιας υγείας. Παρότι η χρήση μεθαμφεταμίνης στην Ευρώπη ιστορικά περιοριζόταν στην </w:t>
      </w:r>
      <w:r>
        <w:rPr>
          <w:rFonts w:ascii="Arial" w:hAnsi="Arial" w:cs="Arial"/>
          <w:b/>
          <w:bCs/>
          <w:sz w:val="20"/>
          <w:szCs w:val="20"/>
        </w:rPr>
        <w:t>Τσεχική Δημοκρατία</w:t>
      </w:r>
      <w:r>
        <w:rPr>
          <w:rFonts w:ascii="Arial" w:hAnsi="Arial" w:cs="Arial"/>
          <w:sz w:val="20"/>
          <w:szCs w:val="20"/>
        </w:rPr>
        <w:t xml:space="preserve"> και στη </w:t>
      </w:r>
      <w:r>
        <w:rPr>
          <w:rFonts w:ascii="Arial" w:hAnsi="Arial" w:cs="Arial"/>
          <w:b/>
          <w:bCs/>
          <w:sz w:val="20"/>
          <w:szCs w:val="20"/>
        </w:rPr>
        <w:t>Σλοβακία</w:t>
      </w:r>
      <w:r>
        <w:rPr>
          <w:rFonts w:ascii="Arial" w:hAnsi="Arial" w:cs="Arial"/>
          <w:sz w:val="20"/>
          <w:szCs w:val="20"/>
        </w:rPr>
        <w:t xml:space="preserve">, σήμερα κάνουν την εμφάνισή τους νέες περιοχές και νέες τάσεις χρήσης σε άλλες χώρες και σε διάφορους πληθυσμούς. Κάποια παραδείγματα περιλαμβάνουν την </w:t>
      </w:r>
      <w:r>
        <w:rPr>
          <w:rFonts w:ascii="Arial" w:hAnsi="Arial" w:cs="Arial"/>
          <w:i/>
          <w:iCs/>
          <w:sz w:val="20"/>
          <w:szCs w:val="20"/>
        </w:rPr>
        <w:t>εισπνοή</w:t>
      </w:r>
      <w:r>
        <w:rPr>
          <w:rFonts w:ascii="Arial" w:hAnsi="Arial" w:cs="Arial"/>
          <w:sz w:val="20"/>
          <w:szCs w:val="20"/>
        </w:rPr>
        <w:t xml:space="preserve"> μεθαμφεταμίνης (σε σκόνη) από τη μύτη για ψυχαγωγική χρήση στη </w:t>
      </w:r>
      <w:r>
        <w:rPr>
          <w:rFonts w:ascii="Arial" w:hAnsi="Arial" w:cs="Arial"/>
          <w:b/>
          <w:bCs/>
          <w:sz w:val="20"/>
          <w:szCs w:val="20"/>
        </w:rPr>
        <w:t>Γερμανία</w:t>
      </w:r>
      <w:r>
        <w:rPr>
          <w:rFonts w:ascii="Arial" w:hAnsi="Arial" w:cs="Arial"/>
          <w:sz w:val="20"/>
          <w:szCs w:val="20"/>
        </w:rPr>
        <w:t xml:space="preserve">, </w:t>
      </w:r>
      <w:r>
        <w:rPr>
          <w:rFonts w:ascii="Arial" w:hAnsi="Arial" w:cs="Arial"/>
          <w:i/>
          <w:iCs/>
          <w:sz w:val="20"/>
          <w:szCs w:val="20"/>
        </w:rPr>
        <w:t>το</w:t>
      </w:r>
      <w:r>
        <w:rPr>
          <w:rFonts w:ascii="Arial" w:hAnsi="Arial" w:cs="Arial"/>
          <w:sz w:val="20"/>
          <w:szCs w:val="20"/>
        </w:rPr>
        <w:t xml:space="preserve"> </w:t>
      </w:r>
      <w:r>
        <w:rPr>
          <w:rFonts w:ascii="Arial" w:hAnsi="Arial" w:cs="Arial"/>
          <w:i/>
          <w:iCs/>
          <w:sz w:val="20"/>
          <w:szCs w:val="20"/>
        </w:rPr>
        <w:t>κάπνισμα</w:t>
      </w:r>
      <w:r>
        <w:rPr>
          <w:rFonts w:ascii="Arial" w:hAnsi="Arial" w:cs="Arial"/>
          <w:sz w:val="20"/>
          <w:szCs w:val="20"/>
        </w:rPr>
        <w:t xml:space="preserve"> «κρυσταλλικής μεθαμφεταμίνης» από χρήστες ενέσιμων οπιοειδών στην </w:t>
      </w:r>
      <w:r>
        <w:rPr>
          <w:rFonts w:ascii="Arial" w:hAnsi="Arial" w:cs="Arial"/>
          <w:b/>
          <w:bCs/>
          <w:sz w:val="20"/>
          <w:szCs w:val="20"/>
        </w:rPr>
        <w:t>Ελλάδα</w:t>
      </w:r>
      <w:r>
        <w:rPr>
          <w:rFonts w:ascii="Arial" w:hAnsi="Arial" w:cs="Arial"/>
          <w:sz w:val="20"/>
          <w:szCs w:val="20"/>
        </w:rPr>
        <w:t xml:space="preserve">, την </w:t>
      </w:r>
      <w:r>
        <w:rPr>
          <w:rFonts w:ascii="Arial" w:hAnsi="Arial" w:cs="Arial"/>
          <w:b/>
          <w:bCs/>
          <w:sz w:val="20"/>
          <w:szCs w:val="20"/>
        </w:rPr>
        <w:t>Κύπρο</w:t>
      </w:r>
      <w:r>
        <w:rPr>
          <w:rFonts w:ascii="Arial" w:hAnsi="Arial" w:cs="Arial"/>
          <w:sz w:val="20"/>
          <w:szCs w:val="20"/>
        </w:rPr>
        <w:t xml:space="preserve"> και την </w:t>
      </w:r>
      <w:r>
        <w:rPr>
          <w:rFonts w:ascii="Arial" w:hAnsi="Arial" w:cs="Arial"/>
          <w:b/>
          <w:bCs/>
          <w:sz w:val="20"/>
          <w:szCs w:val="20"/>
        </w:rPr>
        <w:t>Τουρκία</w:t>
      </w:r>
      <w:r>
        <w:rPr>
          <w:rFonts w:ascii="Arial" w:hAnsi="Arial" w:cs="Arial"/>
          <w:sz w:val="20"/>
          <w:szCs w:val="20"/>
        </w:rPr>
        <w:t xml:space="preserve"> και </w:t>
      </w:r>
      <w:r>
        <w:rPr>
          <w:rFonts w:ascii="Arial" w:hAnsi="Arial" w:cs="Arial"/>
          <w:i/>
          <w:iCs/>
          <w:sz w:val="20"/>
          <w:szCs w:val="20"/>
        </w:rPr>
        <w:t>την</w:t>
      </w:r>
      <w:r>
        <w:rPr>
          <w:rFonts w:ascii="Arial" w:hAnsi="Arial" w:cs="Arial"/>
          <w:sz w:val="20"/>
          <w:szCs w:val="20"/>
        </w:rPr>
        <w:t xml:space="preserve"> </w:t>
      </w:r>
      <w:r>
        <w:rPr>
          <w:rFonts w:ascii="Arial" w:hAnsi="Arial" w:cs="Arial"/>
          <w:i/>
          <w:iCs/>
          <w:sz w:val="20"/>
          <w:szCs w:val="20"/>
        </w:rPr>
        <w:t>ενέσιμη χρήση</w:t>
      </w:r>
      <w:r>
        <w:rPr>
          <w:rFonts w:ascii="Arial" w:hAnsi="Arial" w:cs="Arial"/>
          <w:sz w:val="20"/>
          <w:szCs w:val="20"/>
        </w:rPr>
        <w:t xml:space="preserve"> του ναρκωτικού με άλλες ουσίες από ομοφυλόφιλους άνδρες (βλ. ανωτέρω). </w:t>
      </w:r>
    </w:p>
    <w:p w:rsidR="008A785B" w:rsidRDefault="008A785B" w:rsidP="00935F6F">
      <w:pPr>
        <w:spacing w:after="260" w:line="260" w:lineRule="exact"/>
        <w:rPr>
          <w:rFonts w:ascii="Arial" w:hAnsi="Arial" w:cs="Arial"/>
          <w:sz w:val="20"/>
          <w:szCs w:val="20"/>
        </w:rPr>
      </w:pPr>
      <w:r>
        <w:rPr>
          <w:rFonts w:ascii="Arial" w:hAnsi="Arial" w:cs="Arial"/>
          <w:sz w:val="20"/>
          <w:szCs w:val="20"/>
        </w:rPr>
        <w:t xml:space="preserve">Σε αυτή τη νέα ανάλυση, το </w:t>
      </w:r>
      <w:r>
        <w:rPr>
          <w:rFonts w:ascii="Arial" w:hAnsi="Arial" w:cs="Arial"/>
          <w:b/>
          <w:bCs/>
          <w:sz w:val="20"/>
          <w:szCs w:val="20"/>
        </w:rPr>
        <w:t>EMCDDA</w:t>
      </w:r>
      <w:r>
        <w:rPr>
          <w:rFonts w:ascii="Arial" w:hAnsi="Arial" w:cs="Arial"/>
          <w:sz w:val="20"/>
          <w:szCs w:val="20"/>
        </w:rPr>
        <w:t xml:space="preserve"> εξετάζει τις προκλήσεις για την παροχή υγειονομικών και κοινωνικών παρεμβάσεων έναντι αυτού του ναρκωτικού στις μέρες μας. Παρότι δεν υπάρχουν εγκεκριμένες φαρμακευτικές ουσίες για την απεξάρτηση από τη μεθαμφεταμίνη, οι ψυχοκοινωνικές παρεμβάσεις έχουν αποδειχθεί χρήσιμες. Σύμφωνα με τον οργανισμό,</w:t>
      </w:r>
      <w:r>
        <w:rPr>
          <w:rFonts w:ascii="Arial" w:hAnsi="Arial" w:cs="Arial"/>
          <w:b/>
          <w:bCs/>
          <w:sz w:val="20"/>
          <w:szCs w:val="20"/>
        </w:rPr>
        <w:t xml:space="preserve"> </w:t>
      </w:r>
      <w:r>
        <w:rPr>
          <w:rFonts w:ascii="Arial" w:hAnsi="Arial" w:cs="Arial"/>
          <w:sz w:val="20"/>
          <w:szCs w:val="20"/>
        </w:rPr>
        <w:t xml:space="preserve">το πρόβλημα της μεθαμφεταμίνης στην Ευρώπη σήμερα έχει πολλαπλές πτυχές και οι κατάλληλες παρεμβάσεις θα πρέπει να προσαρμοστούν, να αναπτυχθούν και να εξατομικευτούν για την αντιμετώπιση των τοπικών τάσεων χρήσης και των προβλημάτων που παρατηρούνται. </w:t>
      </w:r>
    </w:p>
    <w:p w:rsidR="008A785B" w:rsidRPr="00FD228B" w:rsidRDefault="008A785B" w:rsidP="00935F6F">
      <w:pPr>
        <w:rPr>
          <w:rFonts w:ascii="Arial" w:hAnsi="Arial" w:cs="Arial"/>
          <w:b/>
          <w:bCs/>
          <w:sz w:val="20"/>
          <w:szCs w:val="20"/>
        </w:rPr>
      </w:pPr>
      <w:r>
        <w:rPr>
          <w:rFonts w:ascii="Arial" w:hAnsi="Arial" w:cs="Arial"/>
          <w:b/>
          <w:bCs/>
          <w:sz w:val="20"/>
          <w:szCs w:val="20"/>
        </w:rPr>
        <w:t>Επισκόπηση της προόδου στις φαρμακευτικές ουσίες για τη θεραπεία της εξάρτησης από την κοκαΐνη</w:t>
      </w:r>
    </w:p>
    <w:p w:rsidR="008A785B" w:rsidRPr="005153AE" w:rsidRDefault="008A785B" w:rsidP="00935F6F">
      <w:pPr>
        <w:spacing w:after="260" w:line="260" w:lineRule="exact"/>
        <w:rPr>
          <w:rFonts w:ascii="Arial" w:hAnsi="Arial" w:cs="Arial"/>
          <w:sz w:val="20"/>
          <w:szCs w:val="20"/>
        </w:rPr>
      </w:pPr>
      <w:r>
        <w:rPr>
          <w:rFonts w:ascii="Arial" w:hAnsi="Arial" w:cs="Arial"/>
          <w:sz w:val="20"/>
          <w:szCs w:val="20"/>
        </w:rPr>
        <w:t xml:space="preserve">Η κοκαΐνη εξακολουθεί να είναι η πλέον χρησιμοποιούμενη στην Ευρώπη παράνομη διεγερτική ουσία και οι προκλήσεις για τη θεραπεία της εξάρτησης που προκαλεί παραμένουν. Το 2012, 14% των συμμετεχόντων σε ειδικά προγράμματα θεραπείας ουσιοεξάρτησης στην Ευρώπη ανέφεραν την κοκαΐνη ως την κύρια ουσία χρήσης τους. Σήμερα, το </w:t>
      </w:r>
      <w:r>
        <w:rPr>
          <w:rFonts w:ascii="Arial" w:hAnsi="Arial" w:cs="Arial"/>
          <w:b/>
          <w:bCs/>
          <w:sz w:val="20"/>
          <w:szCs w:val="20"/>
        </w:rPr>
        <w:t>EMCDDA</w:t>
      </w:r>
      <w:r>
        <w:rPr>
          <w:rFonts w:ascii="Arial" w:hAnsi="Arial" w:cs="Arial"/>
          <w:sz w:val="20"/>
          <w:szCs w:val="20"/>
        </w:rPr>
        <w:t xml:space="preserve"> παρουσιάζει μια μετα-ανάλυση έξι ερευνών που εξετάζουν την αποτελεσματικότητα των ουσιών που χρησιμοποιούνται για τη θεραπεία της εξάρτησης από την κοκαΐνη, καθώς και την αποδοχή τους από τους χρήστες.</w:t>
      </w:r>
      <w:r w:rsidRPr="000F5738">
        <w:rPr>
          <w:rFonts w:ascii="Arial" w:hAnsi="Arial" w:cs="Arial"/>
          <w:sz w:val="20"/>
          <w:szCs w:val="20"/>
        </w:rPr>
        <w:t xml:space="preserve"> </w:t>
      </w:r>
      <w:r>
        <w:rPr>
          <w:rFonts w:ascii="Arial" w:hAnsi="Arial" w:cs="Arial"/>
          <w:sz w:val="20"/>
          <w:szCs w:val="20"/>
        </w:rPr>
        <w:t xml:space="preserve">Οι αρχικές έρευνες που διεξήχθησαν από το </w:t>
      </w:r>
      <w:r w:rsidRPr="005F428B">
        <w:rPr>
          <w:rFonts w:ascii="Arial" w:hAnsi="Arial" w:cs="Arial"/>
          <w:i/>
          <w:sz w:val="20"/>
          <w:szCs w:val="20"/>
        </w:rPr>
        <w:t xml:space="preserve">Cochrane Drugs and Alcohol </w:t>
      </w:r>
      <w:r w:rsidR="005F428B" w:rsidRPr="005F428B">
        <w:rPr>
          <w:rFonts w:ascii="Arial" w:hAnsi="Arial" w:cs="Arial"/>
          <w:i/>
          <w:sz w:val="20"/>
          <w:szCs w:val="20"/>
        </w:rPr>
        <w:t>Group</w:t>
      </w:r>
      <w:r w:rsidR="005F428B">
        <w:rPr>
          <w:rFonts w:ascii="Arial" w:hAnsi="Arial" w:cs="Arial"/>
          <w:sz w:val="20"/>
          <w:szCs w:val="20"/>
        </w:rPr>
        <w:t xml:space="preserve"> </w:t>
      </w:r>
      <w:r>
        <w:rPr>
          <w:rFonts w:ascii="Arial" w:hAnsi="Arial" w:cs="Arial"/>
          <w:sz w:val="20"/>
          <w:szCs w:val="20"/>
        </w:rPr>
        <w:t xml:space="preserve">περιλάμβαναν 92 μελέτες (85 στις ΗΠΑ) και περισσότερους από 7.000 συμμετέχοντες. Αυτές δείχνουν ότι ορισμένες φαρμακευτικές ουσίες περιορίζουν την επιθυμία των χρηστών, ωστόσο δεν έχει βρεθεί μια μοναδική φαρμακολογική λύση για την εξάρτηση από την κοκαΐνη. Καθώς οι έρευνες σε αυτόν τον τομέα προχωρούν, οι ψυχοκοινωνικές παρεμβάσεις εξακολουθούν να αποτελούν βασικό στοιχείο της θεραπείας απεξάρτησης των χρηστών κοκαΐνης </w:t>
      </w:r>
      <w:r w:rsidR="005F428B" w:rsidRPr="005F428B">
        <w:rPr>
          <w:rFonts w:ascii="Arial" w:hAnsi="Arial" w:cs="Arial"/>
          <w:sz w:val="20"/>
          <w:szCs w:val="20"/>
        </w:rPr>
        <w:t xml:space="preserve">                </w:t>
      </w:r>
      <w:r>
        <w:rPr>
          <w:rFonts w:ascii="Arial" w:hAnsi="Arial" w:cs="Arial"/>
          <w:sz w:val="20"/>
          <w:szCs w:val="20"/>
        </w:rPr>
        <w:t xml:space="preserve">(βλ. βίντεο). </w:t>
      </w:r>
    </w:p>
    <w:p w:rsidR="008A785B" w:rsidRPr="00A136AA" w:rsidRDefault="008A785B" w:rsidP="00935F6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Εγχώρια παραγωγή φυτικής κάνναβης, μια σημαντική πηγή εφοδιασμού - η ισχύς της εισαγόμενης ρητίνης αυξάνεται </w:t>
      </w:r>
    </w:p>
    <w:p w:rsidR="008A785B" w:rsidRPr="001801D4" w:rsidRDefault="008A785B" w:rsidP="00935F6F">
      <w:pPr>
        <w:autoSpaceDE w:val="0"/>
        <w:autoSpaceDN w:val="0"/>
        <w:adjustRightInd w:val="0"/>
        <w:spacing w:after="0" w:line="240" w:lineRule="auto"/>
        <w:rPr>
          <w:rFonts w:ascii="Arial" w:hAnsi="Arial" w:cs="Arial"/>
          <w:b/>
          <w:bCs/>
          <w:sz w:val="20"/>
          <w:szCs w:val="20"/>
          <w:highlight w:val="yellow"/>
        </w:rPr>
      </w:pPr>
    </w:p>
    <w:p w:rsidR="008A785B" w:rsidRDefault="008A785B" w:rsidP="00935F6F">
      <w:pPr>
        <w:autoSpaceDE w:val="0"/>
        <w:autoSpaceDN w:val="0"/>
        <w:adjustRightInd w:val="0"/>
        <w:spacing w:after="260" w:line="260" w:lineRule="exact"/>
        <w:rPr>
          <w:rFonts w:ascii="Arial" w:hAnsi="Arial" w:cs="Arial"/>
          <w:sz w:val="20"/>
          <w:szCs w:val="20"/>
        </w:rPr>
      </w:pPr>
      <w:r>
        <w:rPr>
          <w:rFonts w:ascii="Arial" w:hAnsi="Arial" w:cs="Arial"/>
          <w:sz w:val="20"/>
          <w:szCs w:val="20"/>
        </w:rPr>
        <w:t xml:space="preserve">Εδώ και χρόνια, η Ευρώπη αποτελεί μια από τις μεγαλύτερες αγορές κατανάλωσης κάνναβης, και ιδίως ρητίνης προερχόμενης κυρίως από το </w:t>
      </w:r>
      <w:r>
        <w:rPr>
          <w:rFonts w:ascii="Arial" w:hAnsi="Arial" w:cs="Arial"/>
          <w:b/>
          <w:bCs/>
          <w:sz w:val="20"/>
          <w:szCs w:val="20"/>
        </w:rPr>
        <w:t>Μαρόκο</w:t>
      </w:r>
      <w:r>
        <w:rPr>
          <w:rFonts w:ascii="Arial" w:hAnsi="Arial" w:cs="Arial"/>
          <w:sz w:val="20"/>
          <w:szCs w:val="20"/>
        </w:rPr>
        <w:t xml:space="preserve">. Εκτιμάται ότι στην Ευρώπη καταναλώνονται περίπου 2.050 τόνοι ρητίνης κάνναβης («χασίς») και φυτικής κάνναβης («μαριχουάνα») το χρόνο. Σήμερα, το </w:t>
      </w:r>
      <w:r>
        <w:rPr>
          <w:rFonts w:ascii="Arial" w:hAnsi="Arial" w:cs="Arial"/>
          <w:b/>
          <w:bCs/>
          <w:sz w:val="20"/>
          <w:szCs w:val="20"/>
        </w:rPr>
        <w:t>EMCDDA</w:t>
      </w:r>
      <w:r>
        <w:rPr>
          <w:rFonts w:ascii="Arial" w:hAnsi="Arial" w:cs="Arial"/>
          <w:sz w:val="20"/>
          <w:szCs w:val="20"/>
        </w:rPr>
        <w:t xml:space="preserve"> αναφέρει ότι στην αγορά κατανάλωσης κάνναβης της Ευρώπης επικρατούν τα φυτικά προϊόντα, καθώς η εγχώρια φυτική παραγωγή προμηθεύει τους εγχώριους χρήστες. Ολοένα και περισσότερες φυτείες κάνναβης κάνουν την εμφάνισή τους σε διάφορες χώρες της Ευρώπης.</w:t>
      </w:r>
    </w:p>
    <w:p w:rsidR="008A785B" w:rsidRPr="00CE1BE7" w:rsidRDefault="008A785B" w:rsidP="00935F6F">
      <w:pPr>
        <w:autoSpaceDE w:val="0"/>
        <w:autoSpaceDN w:val="0"/>
        <w:adjustRightInd w:val="0"/>
        <w:spacing w:after="260" w:line="260" w:lineRule="exact"/>
        <w:rPr>
          <w:rFonts w:ascii="Arial" w:hAnsi="Arial" w:cs="Arial"/>
          <w:color w:val="BFBFBF"/>
          <w:sz w:val="20"/>
          <w:szCs w:val="20"/>
        </w:rPr>
      </w:pPr>
      <w:r>
        <w:rPr>
          <w:rFonts w:ascii="Arial" w:hAnsi="Arial" w:cs="Arial"/>
          <w:sz w:val="20"/>
          <w:szCs w:val="20"/>
        </w:rPr>
        <w:t>Την τελευταία δεκαετία, ο αριθμός των κατασχέσεων φυτικής κάνναβης στην Ευρώπη έχει ξεπεράσει τις κατασχέσεις ρητίνης. Το 2012 αναφέρθηκαν 457.000 κατασχέσεις φυτικής κάνναβης έναντι 258.000 κατασχέσεων ρητίνης. Περίπου επτά εκατομμύρια φυτά κάνναβης κατασχέθηκαν το 2012, ξεπερνώντας κατά 2,5 φορές τον αριθμό που αναφέρθηκε πέντε χρόνια πριν. Οι καινοτομίες στην παραγωγή της κάνναβης τα τελευταία χρόνια αποτελούν πηγή ανησυχίας (βλ. βίντεο), καθώς οι παραγωγοί καλλιεργούν φυτά υψηλά σε THC (η δραστική ουσία της κάνναβης), αλλά χαμηλά σε CBD (αντιψυχωτικό). Παρότι η ισχύς και των δύο μορφών κάνναβης έχει αυξηθεί από το 2006, μεταξύ του 2011 και του 2012 έχουν παρατηρηθεί σχετικά έντονες αυξήσεις της ισχύος της ρητίνης (βλ. το πληροφοριακό γράφημα για την κάνναβη, Ευρωπαϊκή έκθεση για τα ναρκωτικά, κεφάλαιο 1).</w:t>
      </w:r>
      <w:r>
        <w:rPr>
          <w:rFonts w:ascii="Arial" w:hAnsi="Arial" w:cs="Arial"/>
          <w:sz w:val="20"/>
          <w:szCs w:val="20"/>
          <w:u w:val="single"/>
        </w:rPr>
        <w:t xml:space="preserve"> </w:t>
      </w:r>
    </w:p>
    <w:p w:rsidR="008A785B" w:rsidRPr="00AF2696" w:rsidRDefault="008A785B" w:rsidP="002504CE">
      <w:pPr>
        <w:keepNext/>
        <w:spacing w:after="0" w:line="240" w:lineRule="auto"/>
        <w:rPr>
          <w:rFonts w:ascii="Arial" w:hAnsi="Arial" w:cs="Arial"/>
          <w:sz w:val="20"/>
          <w:szCs w:val="20"/>
        </w:rPr>
      </w:pPr>
      <w:r>
        <w:rPr>
          <w:rFonts w:ascii="Arial" w:hAnsi="Arial" w:cs="Arial"/>
          <w:b/>
          <w:bCs/>
          <w:sz w:val="20"/>
          <w:szCs w:val="20"/>
        </w:rPr>
        <w:lastRenderedPageBreak/>
        <w:t>Θεραπεία ουσιοεξάρτησης μέσω του διαδικτύου: νέοι τρόποι επαφής με τους χρήστες ναρκωτικών</w:t>
      </w:r>
      <w:r>
        <w:rPr>
          <w:rFonts w:ascii="Arial" w:hAnsi="Arial" w:cs="Arial"/>
          <w:sz w:val="20"/>
          <w:szCs w:val="20"/>
        </w:rPr>
        <w:t xml:space="preserve"> </w:t>
      </w:r>
    </w:p>
    <w:p w:rsidR="008A785B" w:rsidRPr="00AF2696" w:rsidRDefault="008A785B" w:rsidP="00935F6F">
      <w:pPr>
        <w:spacing w:after="0" w:line="240" w:lineRule="auto"/>
        <w:rPr>
          <w:rFonts w:ascii="Arial" w:hAnsi="Arial" w:cs="Arial"/>
          <w:sz w:val="20"/>
          <w:szCs w:val="20"/>
        </w:rPr>
      </w:pPr>
    </w:p>
    <w:p w:rsidR="008A785B" w:rsidRPr="00AF2696" w:rsidRDefault="008A785B" w:rsidP="00935F6F">
      <w:pPr>
        <w:spacing w:after="260" w:line="260" w:lineRule="exact"/>
        <w:rPr>
          <w:rFonts w:ascii="Arial" w:hAnsi="Arial" w:cs="Arial"/>
          <w:sz w:val="20"/>
          <w:szCs w:val="20"/>
        </w:rPr>
      </w:pPr>
      <w:r>
        <w:rPr>
          <w:rFonts w:ascii="Arial" w:hAnsi="Arial" w:cs="Arial"/>
          <w:sz w:val="20"/>
          <w:szCs w:val="20"/>
        </w:rPr>
        <w:t xml:space="preserve">Το διαδίκτυο αναγνωρίζεται πλέον ως ένα αξιόπιστο μέσο παροχής προγραμμάτων εκπαίδευσης, πρόληψης και θεραπείας σχετικά με τα ναρκωτικά και το αλκοόλ σε διάφορα περιβάλλοντα. Σήμερα, το </w:t>
      </w:r>
      <w:r>
        <w:rPr>
          <w:rFonts w:ascii="Arial" w:hAnsi="Arial" w:cs="Arial"/>
          <w:b/>
          <w:bCs/>
          <w:sz w:val="20"/>
          <w:szCs w:val="20"/>
        </w:rPr>
        <w:t>EMCDDA</w:t>
      </w:r>
      <w:r>
        <w:rPr>
          <w:rFonts w:ascii="Arial" w:hAnsi="Arial" w:cs="Arial"/>
          <w:sz w:val="20"/>
          <w:szCs w:val="20"/>
        </w:rPr>
        <w:t xml:space="preserve"> καταγράφει τις εξελίξεις στη θεραπεία ουσιοεξάρτησης</w:t>
      </w:r>
      <w:bookmarkStart w:id="0" w:name="_GoBack"/>
      <w:bookmarkEnd w:id="0"/>
      <w:r>
        <w:rPr>
          <w:rFonts w:ascii="Arial" w:hAnsi="Arial" w:cs="Arial"/>
          <w:sz w:val="20"/>
          <w:szCs w:val="20"/>
        </w:rPr>
        <w:t xml:space="preserve"> μέσω του διαδικτύου (</w:t>
      </w:r>
      <w:r w:rsidRPr="005F428B">
        <w:rPr>
          <w:rFonts w:ascii="Arial" w:hAnsi="Arial" w:cs="Arial"/>
          <w:i/>
          <w:sz w:val="20"/>
          <w:szCs w:val="20"/>
        </w:rPr>
        <w:t>I</w:t>
      </w:r>
      <w:r w:rsidR="005F428B" w:rsidRPr="005F428B">
        <w:rPr>
          <w:rFonts w:ascii="Arial" w:hAnsi="Arial" w:cs="Arial"/>
          <w:i/>
          <w:sz w:val="20"/>
          <w:szCs w:val="20"/>
          <w:lang w:val="en-GB"/>
        </w:rPr>
        <w:t>nternet</w:t>
      </w:r>
      <w:r w:rsidR="005F428B" w:rsidRPr="005F428B">
        <w:rPr>
          <w:rFonts w:ascii="Arial" w:hAnsi="Arial" w:cs="Arial"/>
          <w:i/>
          <w:sz w:val="20"/>
          <w:szCs w:val="20"/>
        </w:rPr>
        <w:t>-</w:t>
      </w:r>
      <w:r w:rsidR="005F428B" w:rsidRPr="005F428B">
        <w:rPr>
          <w:rFonts w:ascii="Arial" w:hAnsi="Arial" w:cs="Arial"/>
          <w:i/>
          <w:sz w:val="20"/>
          <w:szCs w:val="20"/>
          <w:lang w:val="en-GB"/>
        </w:rPr>
        <w:t>based</w:t>
      </w:r>
      <w:r w:rsidR="005F428B" w:rsidRPr="005F428B">
        <w:rPr>
          <w:rFonts w:ascii="Arial" w:hAnsi="Arial" w:cs="Arial"/>
          <w:i/>
          <w:sz w:val="20"/>
          <w:szCs w:val="20"/>
        </w:rPr>
        <w:t xml:space="preserve"> </w:t>
      </w:r>
      <w:r w:rsidR="005F428B" w:rsidRPr="005F428B">
        <w:rPr>
          <w:rFonts w:ascii="Arial" w:hAnsi="Arial" w:cs="Arial"/>
          <w:i/>
          <w:sz w:val="20"/>
          <w:szCs w:val="20"/>
          <w:lang w:val="en-GB"/>
        </w:rPr>
        <w:t>Drug</w:t>
      </w:r>
      <w:r w:rsidR="005F428B" w:rsidRPr="005F428B">
        <w:rPr>
          <w:rFonts w:ascii="Arial" w:hAnsi="Arial" w:cs="Arial"/>
          <w:i/>
          <w:sz w:val="20"/>
          <w:szCs w:val="20"/>
        </w:rPr>
        <w:t xml:space="preserve"> </w:t>
      </w:r>
      <w:r w:rsidR="005F428B" w:rsidRPr="005F428B">
        <w:rPr>
          <w:rFonts w:ascii="Arial" w:hAnsi="Arial" w:cs="Arial"/>
          <w:i/>
          <w:sz w:val="20"/>
          <w:szCs w:val="20"/>
          <w:lang w:val="en-GB"/>
        </w:rPr>
        <w:t>Treatment</w:t>
      </w:r>
      <w:r w:rsidR="005F428B" w:rsidRPr="005F428B">
        <w:rPr>
          <w:rFonts w:ascii="Arial" w:hAnsi="Arial" w:cs="Arial"/>
          <w:sz w:val="20"/>
          <w:szCs w:val="20"/>
        </w:rPr>
        <w:t xml:space="preserve"> — </w:t>
      </w:r>
      <w:r w:rsidR="005F428B">
        <w:rPr>
          <w:rFonts w:ascii="Arial" w:hAnsi="Arial" w:cs="Arial"/>
          <w:sz w:val="20"/>
          <w:szCs w:val="20"/>
          <w:lang w:val="en-GB"/>
        </w:rPr>
        <w:t>I</w:t>
      </w:r>
      <w:r>
        <w:rPr>
          <w:rFonts w:ascii="Arial" w:hAnsi="Arial" w:cs="Arial"/>
          <w:sz w:val="20"/>
          <w:szCs w:val="20"/>
        </w:rPr>
        <w:t xml:space="preserve">BDT), η οποία έχει επεκταθεί στην Ευρώπη τα τελευταία 10 χρόνια, κυρίως όσον αφορά τη χρήση κάνναβης. Η IBDT χρησιμοποιεί μια σειρά δοκιμασμένων ψυχοκοινωνικών τεχνικών και τις ενσωματώνει σε ένα νέο μηχανισμό παροχής υπηρεσιών μέσω του διαδικτύου. Παρότι η προστασία των δεδομένων και η ανωνυμία είναι σημαντικά ζητήματα που πρέπει να αντιμετωπιστούν, τα οφέλη αυτής της μορφής παροχής υπηρεσιών περιλαμβάνουν, μεταξύ άλλων, μεγαλύτερη γεωγραφική κάλυψη, πρόσβαση σε χρήστες που δεν έχουν πρόσβαση σε ειδικές υπηρεσίες απεξάρτησης και αμεσότερη υποστήριξη (χωρίς χρόνο αναμονής). Με τη συνεχιζόμενη ανάπτυξή τους, τα προγράμματα IBDT μπορούν να αποτελέσουν χρήσιμο συμπλήρωμα των παραδοσιακών υπηρεσιών θεραπείας, προσφέροντας νέους τρόπους επαφής με τους χρήστες ναρκωτικών που χρειάζονται βοήθεια </w:t>
      </w:r>
      <w:r w:rsidR="005F428B" w:rsidRPr="005F428B">
        <w:rPr>
          <w:rFonts w:ascii="Arial" w:hAnsi="Arial" w:cs="Arial"/>
          <w:sz w:val="20"/>
          <w:szCs w:val="20"/>
        </w:rPr>
        <w:t xml:space="preserve">              </w:t>
      </w:r>
      <w:r>
        <w:rPr>
          <w:rFonts w:ascii="Arial" w:hAnsi="Arial" w:cs="Arial"/>
          <w:sz w:val="20"/>
          <w:szCs w:val="20"/>
        </w:rPr>
        <w:t xml:space="preserve">(βλ. βίντεο). </w:t>
      </w:r>
    </w:p>
    <w:p w:rsidR="008A785B" w:rsidRPr="00AF2696" w:rsidRDefault="008A785B" w:rsidP="00935F6F">
      <w:pPr>
        <w:spacing w:after="260" w:line="260" w:lineRule="exact"/>
        <w:rPr>
          <w:rFonts w:ascii="Arial" w:hAnsi="Arial" w:cs="Arial"/>
          <w:b/>
          <w:bCs/>
          <w:sz w:val="20"/>
          <w:szCs w:val="20"/>
        </w:rPr>
      </w:pPr>
      <w:r>
        <w:rPr>
          <w:rFonts w:ascii="Arial" w:hAnsi="Arial" w:cs="Arial"/>
          <w:b/>
          <w:bCs/>
          <w:sz w:val="20"/>
          <w:szCs w:val="20"/>
        </w:rPr>
        <w:t>Σήμερα δημοσιεύεται η μεγαλύτερη ανάλυση λυμάτων για ναρ</w:t>
      </w:r>
      <w:r w:rsidR="00870D11">
        <w:rPr>
          <w:rFonts w:ascii="Arial" w:hAnsi="Arial" w:cs="Arial"/>
          <w:b/>
          <w:bCs/>
          <w:sz w:val="20"/>
          <w:szCs w:val="20"/>
        </w:rPr>
        <w:t>κωτικά σε μεγάλο αριθμό πόλεων</w:t>
      </w:r>
    </w:p>
    <w:p w:rsidR="008A785B" w:rsidRDefault="008A785B" w:rsidP="00935F6F">
      <w:pPr>
        <w:pStyle w:val="CommentText"/>
        <w:spacing w:after="0" w:line="260" w:lineRule="exact"/>
        <w:rPr>
          <w:rFonts w:ascii="Arial" w:hAnsi="Arial" w:cs="Arial"/>
        </w:rPr>
      </w:pPr>
      <w:r>
        <w:rPr>
          <w:rFonts w:ascii="Arial" w:hAnsi="Arial" w:cs="Arial"/>
        </w:rPr>
        <w:t xml:space="preserve">Τα αποτελέσματα του μεγαλύτερου μέχρι σήμερα έργου της αναδυόμενης επιστήμης της ανάλυσης λυμάτων δημοσιεύονται επίσης σήμερα. Αυτό το έργο ανέλυσε λύματα σε περισσότερες από 40 πόλεις (21 χώρες) για να ερευνήσει τις συνήθειες της χρήσης ναρκωτικών των κατοίκων τους. Τα συμπεράσματά της περιγράφονται σε ένα POD του </w:t>
      </w:r>
      <w:r w:rsidRPr="005F428B">
        <w:rPr>
          <w:rFonts w:ascii="Arial" w:hAnsi="Arial" w:cs="Arial"/>
          <w:b/>
        </w:rPr>
        <w:t>EMCDDA</w:t>
      </w:r>
      <w:r>
        <w:rPr>
          <w:rFonts w:ascii="Arial" w:hAnsi="Arial" w:cs="Arial"/>
        </w:rPr>
        <w:t xml:space="preserve"> αφιερωμένο σε αυτό το ζήτημα. Αναλύθηκαν λύματα περίπου 8 εκατομμυρίων ανθρώπων για ίχνη πέντε παράνομων ναρκωτικών: αμφεταμίνη, κάνναβη, κοκαΐνη, έκσταση και μεθαμφεταμίνη (δελτίο </w:t>
      </w:r>
      <w:r w:rsidR="00870D11">
        <w:rPr>
          <w:rFonts w:ascii="Arial" w:hAnsi="Arial" w:cs="Arial"/>
        </w:rPr>
        <w:t>Τ</w:t>
      </w:r>
      <w:r>
        <w:rPr>
          <w:rFonts w:ascii="Arial" w:hAnsi="Arial" w:cs="Arial"/>
        </w:rPr>
        <w:t>ύπου 5/2014).</w:t>
      </w:r>
    </w:p>
    <w:p w:rsidR="008A785B" w:rsidRDefault="008A785B" w:rsidP="00935F6F">
      <w:pPr>
        <w:pStyle w:val="newsContent"/>
      </w:pPr>
    </w:p>
    <w:p w:rsidR="008A785B" w:rsidRPr="00E35A89" w:rsidRDefault="008A785B" w:rsidP="00935F6F">
      <w:pPr>
        <w:pStyle w:val="newsContent"/>
      </w:pPr>
      <w:r>
        <w:t xml:space="preserve">Τα αποτελέσματα παρέχουν μια πολύτιμη εικόνα της ροής ναρκωτικών στις πόλεις που συμμετείχαν </w:t>
      </w:r>
      <w:r w:rsidR="005F428B" w:rsidRPr="005F428B">
        <w:t xml:space="preserve">   </w:t>
      </w:r>
      <w:r>
        <w:t xml:space="preserve">στο έργο και αποκαλύπτουν σημαντικές περιφερειακές αποκλίσεις όσον αφορά τη χρήση ναρκωτικών. </w:t>
      </w:r>
      <w:r w:rsidR="005F428B" w:rsidRPr="005F428B">
        <w:t xml:space="preserve"> </w:t>
      </w:r>
      <w:r>
        <w:t>Για παράδειγμα, τα ίχνη κοκαΐνης ήταν υψηλότερα σε δυτικές και σε κάποιες νότιες πόλεις, αλλά χαμηλότερα σε βόρειες και ανατολικές πόλεις. Όσον αφορά τη χρήση αμφεταμίνης, παρότι ήταν σχετικά ομοιόμορφα κατανεμημένη, τα υψηλότερα επίπεδα παρατηρήθηκαν στη βόρεια και βορειοδυτική Ευρώπη. Η χρήση μεθαμφεταμίνης, η οποία γενικά είναι χαμηλή και παραδοσιακά παρατηρείται κυρίως στην Κεντρική Ευρώπη, φαίνεται ότι εξαπλώνεται. Από την επισκόπηση της χρήσης ναρκωτικών κατά τη διάρκεια της εβδομάδας προέκυψε ότι τα επίπεδα κοκαΐνης και έκστασης αυξάνονται έντονα τα Σαββατοκύριακα στις περισσότερες πόλεις, ενώ η χρήση μεθαμφεταμίνης και κάνναβης είναι πιο ομοιόμορφα κατανεμημένη κατά τη διάρκεια της εβδομάδας.</w:t>
      </w:r>
    </w:p>
    <w:p w:rsidR="008A785B" w:rsidRPr="00AF2696" w:rsidRDefault="008A785B" w:rsidP="002504CE">
      <w:pPr>
        <w:spacing w:before="100" w:beforeAutospacing="1"/>
      </w:pPr>
      <w:r>
        <w:rPr>
          <w:rFonts w:ascii="Arial" w:hAnsi="Arial" w:cs="Arial"/>
          <w:b/>
          <w:bCs/>
          <w:sz w:val="20"/>
          <w:szCs w:val="20"/>
        </w:rPr>
        <w:t xml:space="preserve">Ο João Goulão, Πρόεδρος του Διοικητικού Συμβουλίου του EMCDDA, </w:t>
      </w:r>
      <w:r>
        <w:rPr>
          <w:rFonts w:ascii="Arial" w:hAnsi="Arial" w:cs="Arial"/>
          <w:sz w:val="20"/>
          <w:szCs w:val="20"/>
        </w:rPr>
        <w:t xml:space="preserve">δήλωσε: «Φέτος, το EMCDDA φέρνει στο φως μια νέα σειρά προκλήσεων που θέτουν οι διεγερτικές και άλλες ουσίες. Συγκεκριμένα, ο οργανισμός ερευνά τα αναδυόμενα και αυξανόμενα στοιχεία για τη θεραπεία προβλημάτων που σχετίζονται με τη χρήση κοκαΐνης, μεθαμφεταμίνης και κάνναβης. Ένα κοινό χαρακτηριστικό είναι η σημασία των ψυχοκοινωνικών παρεμβάσεων, που αντιπροσωπεύουν σημαντικό μέρος των θεραπευτικών μέσων που διαθέτουμε για την αντιμετώπιση των σύγχρονων προβλημάτων χρήσης ναρκωτικών». </w:t>
      </w:r>
    </w:p>
    <w:sectPr w:rsidR="008A785B" w:rsidRPr="00AF2696" w:rsidSect="00E0331A">
      <w:headerReference w:type="default" r:id="rId10"/>
      <w:footerReference w:type="default" r:id="rId11"/>
      <w:footerReference w:type="first" r:id="rId12"/>
      <w:type w:val="continuous"/>
      <w:pgSz w:w="11906" w:h="16838" w:code="9"/>
      <w:pgMar w:top="1276" w:right="1276" w:bottom="993"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376" w:rsidRDefault="00F07376" w:rsidP="009A28FB">
      <w:pPr>
        <w:spacing w:after="0" w:line="240" w:lineRule="auto"/>
      </w:pPr>
      <w:r>
        <w:separator/>
      </w:r>
    </w:p>
  </w:endnote>
  <w:endnote w:type="continuationSeparator" w:id="0">
    <w:p w:rsidR="00F07376" w:rsidRDefault="00F07376"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15" w:type="dxa"/>
      <w:tblInd w:w="-510" w:type="dxa"/>
      <w:tblCellMar>
        <w:left w:w="57" w:type="dxa"/>
        <w:right w:w="57" w:type="dxa"/>
      </w:tblCellMar>
      <w:tblLook w:val="00A0" w:firstRow="1" w:lastRow="0" w:firstColumn="1" w:lastColumn="0" w:noHBand="0" w:noVBand="0"/>
    </w:tblPr>
    <w:tblGrid>
      <w:gridCol w:w="8505"/>
      <w:gridCol w:w="1310"/>
    </w:tblGrid>
    <w:tr w:rsidR="008A785B" w:rsidRPr="005E3762">
      <w:tc>
        <w:tcPr>
          <w:tcW w:w="8505" w:type="dxa"/>
        </w:tcPr>
        <w:p w:rsidR="008A785B" w:rsidRPr="005E3762" w:rsidRDefault="004432E8" w:rsidP="00D37865">
          <w:pPr>
            <w:pStyle w:val="newsCoordinates"/>
          </w:pPr>
          <w:r>
            <w:rPr>
              <w:noProof/>
            </w:rPr>
            <w:pict>
              <v:line id="Straight Connector 14" o:spid="_x0000_s2050" style="position:absolute;left:0;text-align:left;flip:x;z-index:-251658752;visibility:visible;mso-position-horizontal-relative:page;mso-position-vertical-relative:page" from="2.8pt,1.2pt" to="2.8pt,9.7pt" strokecolor="#009" strokeweight="1.5pt">
                <w10:wrap anchorx="page" anchory="page"/>
              </v:line>
            </w:pict>
          </w:r>
          <w:r w:rsidR="008A785B" w:rsidRPr="005E3762">
            <w:t>Προοπτικές για τα ναρκωτικά  (</w:t>
          </w:r>
          <w:proofErr w:type="spellStart"/>
          <w:r w:rsidR="008A785B" w:rsidRPr="005E3762">
            <w:t>PODs</w:t>
          </w:r>
          <w:proofErr w:type="spellEnd"/>
          <w:r w:rsidR="008A785B" w:rsidRPr="005E3762">
            <w:t>) — διατίθεται στα αγγλικά στη διεύθυνση www.emcdda.europa.eu/edr2014</w:t>
          </w:r>
        </w:p>
      </w:tc>
      <w:tc>
        <w:tcPr>
          <w:tcW w:w="1310" w:type="dxa"/>
          <w:vAlign w:val="bottom"/>
        </w:tcPr>
        <w:p w:rsidR="008A785B" w:rsidRPr="005E3762" w:rsidRDefault="008A785B" w:rsidP="002504CE">
          <w:pPr>
            <w:pStyle w:val="newsReference"/>
          </w:pPr>
        </w:p>
      </w:tc>
    </w:tr>
  </w:tbl>
  <w:p w:rsidR="008A785B" w:rsidRDefault="008A78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510" w:type="dxa"/>
      <w:tblCellMar>
        <w:left w:w="57" w:type="dxa"/>
        <w:right w:w="57" w:type="dxa"/>
      </w:tblCellMar>
      <w:tblLook w:val="00A0" w:firstRow="1" w:lastRow="0" w:firstColumn="1" w:lastColumn="0" w:noHBand="0" w:noVBand="0"/>
    </w:tblPr>
    <w:tblGrid>
      <w:gridCol w:w="7196"/>
      <w:gridCol w:w="3294"/>
    </w:tblGrid>
    <w:tr w:rsidR="008A785B" w:rsidRPr="005E3762">
      <w:tc>
        <w:tcPr>
          <w:tcW w:w="7196" w:type="dxa"/>
        </w:tcPr>
        <w:p w:rsidR="008A785B" w:rsidRPr="005E3762" w:rsidRDefault="004432E8" w:rsidP="003B00EE">
          <w:pPr>
            <w:pStyle w:val="newsCoordinates"/>
          </w:pPr>
          <w:r>
            <w:rPr>
              <w:noProof/>
            </w:rPr>
            <w:pict>
              <v:line id="Straight Connector 4" o:spid="_x0000_s2051" style="position:absolute;left:0;text-align:left;z-index:-251657728;visibility:visible;mso-position-horizontal-relative:page;mso-position-vertical-relative:page" from="2.55pt,-1.15pt" to="2.55pt,32.85pt" strokecolor="#009" strokeweight="1.5pt">
                <w10:wrap anchorx="page" anchory="page"/>
              </v:line>
            </w:pict>
          </w:r>
          <w:r w:rsidR="008A785B" w:rsidRPr="005E3762">
            <w:t xml:space="preserve">Επικοινωνία: </w:t>
          </w:r>
          <w:proofErr w:type="spellStart"/>
          <w:r w:rsidR="008A785B" w:rsidRPr="005E3762">
            <w:t>Kathy</w:t>
          </w:r>
          <w:proofErr w:type="spellEnd"/>
          <w:r w:rsidR="008A785B" w:rsidRPr="005E3762">
            <w:t xml:space="preserve"> </w:t>
          </w:r>
          <w:proofErr w:type="spellStart"/>
          <w:r w:rsidR="008A785B" w:rsidRPr="005E3762">
            <w:t>Robertson</w:t>
          </w:r>
          <w:proofErr w:type="spellEnd"/>
          <w:r w:rsidR="008A785B" w:rsidRPr="005E3762">
            <w:t xml:space="preserve">, Σχέσεις με τα μέσα ενημέρωσης </w:t>
          </w:r>
        </w:p>
        <w:p w:rsidR="008A785B" w:rsidRPr="002504CE" w:rsidRDefault="008A785B" w:rsidP="003B00EE">
          <w:pPr>
            <w:pStyle w:val="newsCoordinates"/>
            <w:rPr>
              <w:lang w:val="pt-PT"/>
            </w:rPr>
          </w:pPr>
          <w:r w:rsidRPr="002504CE">
            <w:rPr>
              <w:lang w:val="pt-PT"/>
            </w:rPr>
            <w:t xml:space="preserve">Praça Europa 1, Cais do Sodré, 1249-289 </w:t>
          </w:r>
          <w:r w:rsidRPr="005E3762">
            <w:t>Λισαβόνα</w:t>
          </w:r>
          <w:r w:rsidRPr="002504CE">
            <w:rPr>
              <w:lang w:val="pt-PT"/>
            </w:rPr>
            <w:t xml:space="preserve">, </w:t>
          </w:r>
          <w:r w:rsidRPr="005E3762">
            <w:t>Πορτογαλία</w:t>
          </w:r>
          <w:r w:rsidRPr="002504CE">
            <w:rPr>
              <w:lang w:val="pt-PT"/>
            </w:rPr>
            <w:t xml:space="preserve"> </w:t>
          </w:r>
        </w:p>
        <w:p w:rsidR="008A785B" w:rsidRPr="00BD576D" w:rsidRDefault="008A785B" w:rsidP="003B00EE">
          <w:pPr>
            <w:pStyle w:val="newsCoordinates"/>
            <w:rPr>
              <w:lang w:val="it-IT"/>
            </w:rPr>
          </w:pPr>
          <w:proofErr w:type="spellStart"/>
          <w:r w:rsidRPr="005E3762">
            <w:t>Τηλ</w:t>
          </w:r>
          <w:proofErr w:type="spellEnd"/>
          <w:r w:rsidRPr="00BD576D">
            <w:rPr>
              <w:lang w:val="it-IT"/>
            </w:rPr>
            <w:t xml:space="preserve">. </w:t>
          </w:r>
          <w:proofErr w:type="gramStart"/>
          <w:r w:rsidRPr="00BD576D">
            <w:rPr>
              <w:lang w:val="it-IT"/>
            </w:rPr>
            <w:t>(351</w:t>
          </w:r>
          <w:proofErr w:type="gramEnd"/>
          <w:r w:rsidRPr="00BD576D">
            <w:rPr>
              <w:lang w:val="it-IT"/>
            </w:rPr>
            <w:t xml:space="preserve">) 211 21 02 00 </w:t>
          </w:r>
          <w:r w:rsidRPr="00BD576D">
            <w:rPr>
              <w:sz w:val="18"/>
              <w:szCs w:val="18"/>
              <w:lang w:val="it-IT"/>
            </w:rPr>
            <w:t xml:space="preserve">I </w:t>
          </w:r>
          <w:r w:rsidRPr="00BD576D">
            <w:rPr>
              <w:lang w:val="it-IT"/>
            </w:rPr>
            <w:t xml:space="preserve">press@emcdda.europa.eu </w:t>
          </w:r>
          <w:r w:rsidRPr="00BD576D">
            <w:rPr>
              <w:sz w:val="18"/>
              <w:szCs w:val="18"/>
              <w:lang w:val="it-IT"/>
            </w:rPr>
            <w:t>I</w:t>
          </w:r>
          <w:r w:rsidRPr="00BD576D">
            <w:rPr>
              <w:lang w:val="it-IT"/>
            </w:rPr>
            <w:t xml:space="preserve"> emcdda.europa.eu</w:t>
          </w:r>
        </w:p>
      </w:tc>
      <w:tc>
        <w:tcPr>
          <w:tcW w:w="3294" w:type="dxa"/>
          <w:vAlign w:val="bottom"/>
        </w:tcPr>
        <w:p w:rsidR="008A785B" w:rsidRPr="005E3762" w:rsidRDefault="002129CB" w:rsidP="002504CE">
          <w:pPr>
            <w:pStyle w:val="newsReference"/>
          </w:pPr>
          <w:r>
            <w:rPr>
              <w:lang w:val="en-GB"/>
            </w:rPr>
            <w:t xml:space="preserve">                      </w:t>
          </w:r>
          <w:r w:rsidR="008A785B" w:rsidRPr="005E3762">
            <w:t>EL — Αρ. 4/2014</w:t>
          </w:r>
        </w:p>
      </w:tc>
    </w:tr>
  </w:tbl>
  <w:p w:rsidR="008A785B" w:rsidRDefault="008A78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376" w:rsidRDefault="00F07376" w:rsidP="009A28FB">
      <w:pPr>
        <w:spacing w:after="0" w:line="240" w:lineRule="auto"/>
      </w:pPr>
      <w:r>
        <w:separator/>
      </w:r>
    </w:p>
  </w:footnote>
  <w:footnote w:type="continuationSeparator" w:id="0">
    <w:p w:rsidR="00F07376" w:rsidRDefault="00F07376"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5" w:type="dxa"/>
      <w:tblInd w:w="-510" w:type="dxa"/>
      <w:tblCellMar>
        <w:left w:w="57" w:type="dxa"/>
        <w:right w:w="57" w:type="dxa"/>
      </w:tblCellMar>
      <w:tblLook w:val="00A0" w:firstRow="1" w:lastRow="0" w:firstColumn="1" w:lastColumn="0" w:noHBand="0" w:noVBand="0"/>
    </w:tblPr>
    <w:tblGrid>
      <w:gridCol w:w="8364"/>
      <w:gridCol w:w="2131"/>
    </w:tblGrid>
    <w:tr w:rsidR="008A785B" w:rsidRPr="005E3762" w:rsidTr="002504CE">
      <w:tc>
        <w:tcPr>
          <w:tcW w:w="8364" w:type="dxa"/>
        </w:tcPr>
        <w:p w:rsidR="008A785B" w:rsidRPr="005E3762" w:rsidRDefault="004432E8" w:rsidP="00CC4FDA">
          <w:pPr>
            <w:pStyle w:val="newsEmbargo"/>
          </w:pPr>
          <w:r>
            <w:rPr>
              <w:noProof/>
            </w:rPr>
            <w:pict>
              <v:line id="Straight Connector 11" o:spid="_x0000_s2049" style="position:absolute;left:0;text-align:left;z-index:-251659776;visibility:visible;mso-position-horizontal-relative:page;mso-position-vertical-relative:page" from="2.8pt,-.1pt" to="2.8pt,9.7pt" strokecolor="#009" strokeweight="1.5pt">
                <w10:wrap anchorx="page" anchory="page"/>
              </v:line>
            </w:pict>
          </w:r>
          <w:r w:rsidR="008A785B" w:rsidRPr="005E3762">
            <w:t xml:space="preserve">Προοπτικές για τα ναρκωτικά </w:t>
          </w:r>
          <w:r w:rsidR="008A785B" w:rsidRPr="005E3762">
            <w:rPr>
              <w:noProof/>
              <w:sz w:val="18"/>
              <w:szCs w:val="18"/>
            </w:rPr>
            <w:t>I</w:t>
          </w:r>
          <w:r w:rsidR="008A785B" w:rsidRPr="005E3762">
            <w:t xml:space="preserve"> </w:t>
          </w:r>
          <w:r w:rsidR="008A785B" w:rsidRPr="002129CB">
            <w:rPr>
              <w:b/>
              <w:bCs/>
              <w:noProof/>
              <w:color w:val="FF0000"/>
            </w:rPr>
            <w:t>ΑΠΑΓΟΡΕΥΕΤΑΙ Η ΔΗΜΟΣΙΕΥΣΗ ΕΩΣ 10:00 ώρα Δυτικής Ευρώπης/ώρα Λισαβόνας</w:t>
          </w:r>
        </w:p>
      </w:tc>
      <w:tc>
        <w:tcPr>
          <w:tcW w:w="2131" w:type="dxa"/>
          <w:vAlign w:val="bottom"/>
        </w:tcPr>
        <w:p w:rsidR="008A785B" w:rsidRPr="005E3762" w:rsidRDefault="008A785B" w:rsidP="002504CE">
          <w:pPr>
            <w:pStyle w:val="newsReference"/>
          </w:pPr>
          <w:r w:rsidRPr="005E3762">
            <w:t>27.5.2014</w:t>
          </w:r>
        </w:p>
      </w:tc>
    </w:tr>
  </w:tbl>
  <w:p w:rsidR="008A785B" w:rsidRDefault="008A78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8432D"/>
    <w:multiLevelType w:val="hybridMultilevel"/>
    <w:tmpl w:val="B8AE9F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nsid w:val="2B2B3971"/>
    <w:multiLevelType w:val="hybridMultilevel"/>
    <w:tmpl w:val="E53A71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75AF099F"/>
    <w:multiLevelType w:val="hybridMultilevel"/>
    <w:tmpl w:val="B2B8EBC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799A4A56"/>
    <w:multiLevelType w:val="hybridMultilevel"/>
    <w:tmpl w:val="8A321F4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nsid w:val="7EBC3A3B"/>
    <w:multiLevelType w:val="hybridMultilevel"/>
    <w:tmpl w:val="9BE87E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doNotTrackMoves/>
  <w:defaultTabStop w:val="720"/>
  <w:hyphenationZone w:val="425"/>
  <w:drawingGridHorizontalSpacing w:val="110"/>
  <w:displayHorizontalDrawingGridEvery w:val="2"/>
  <w:displayVertic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19C"/>
    <w:rsid w:val="000007AF"/>
    <w:rsid w:val="00007B9A"/>
    <w:rsid w:val="00014E8E"/>
    <w:rsid w:val="000152C1"/>
    <w:rsid w:val="00023062"/>
    <w:rsid w:val="000324D2"/>
    <w:rsid w:val="00035570"/>
    <w:rsid w:val="00035E4D"/>
    <w:rsid w:val="00036DAA"/>
    <w:rsid w:val="000535B7"/>
    <w:rsid w:val="00066C5C"/>
    <w:rsid w:val="00067DD3"/>
    <w:rsid w:val="00080F9B"/>
    <w:rsid w:val="000C6200"/>
    <w:rsid w:val="000C77EB"/>
    <w:rsid w:val="000D09FC"/>
    <w:rsid w:val="000D5E92"/>
    <w:rsid w:val="000F5738"/>
    <w:rsid w:val="00105BFC"/>
    <w:rsid w:val="00107C96"/>
    <w:rsid w:val="00130564"/>
    <w:rsid w:val="00147EC6"/>
    <w:rsid w:val="00164CB4"/>
    <w:rsid w:val="00167D76"/>
    <w:rsid w:val="0017713E"/>
    <w:rsid w:val="001800D0"/>
    <w:rsid w:val="001801D4"/>
    <w:rsid w:val="001848B8"/>
    <w:rsid w:val="00187B93"/>
    <w:rsid w:val="00191616"/>
    <w:rsid w:val="001A3338"/>
    <w:rsid w:val="001B0A3C"/>
    <w:rsid w:val="001B74EB"/>
    <w:rsid w:val="001C05A8"/>
    <w:rsid w:val="001C795A"/>
    <w:rsid w:val="001D179B"/>
    <w:rsid w:val="001D5C26"/>
    <w:rsid w:val="001D63F2"/>
    <w:rsid w:val="001E4544"/>
    <w:rsid w:val="001F70B4"/>
    <w:rsid w:val="002129CB"/>
    <w:rsid w:val="00216D75"/>
    <w:rsid w:val="00223753"/>
    <w:rsid w:val="00231487"/>
    <w:rsid w:val="0024165C"/>
    <w:rsid w:val="002419E2"/>
    <w:rsid w:val="002504CE"/>
    <w:rsid w:val="002557B0"/>
    <w:rsid w:val="00257357"/>
    <w:rsid w:val="002646E4"/>
    <w:rsid w:val="00270DB1"/>
    <w:rsid w:val="0027252D"/>
    <w:rsid w:val="00274794"/>
    <w:rsid w:val="00276B02"/>
    <w:rsid w:val="0028141E"/>
    <w:rsid w:val="002948E2"/>
    <w:rsid w:val="002A4C05"/>
    <w:rsid w:val="002A61F7"/>
    <w:rsid w:val="002B05CE"/>
    <w:rsid w:val="002B45AC"/>
    <w:rsid w:val="002C02C3"/>
    <w:rsid w:val="002C04F0"/>
    <w:rsid w:val="002D0144"/>
    <w:rsid w:val="002D171F"/>
    <w:rsid w:val="002D7EE3"/>
    <w:rsid w:val="002E4882"/>
    <w:rsid w:val="00303D0F"/>
    <w:rsid w:val="0033158E"/>
    <w:rsid w:val="0033159F"/>
    <w:rsid w:val="00332C2A"/>
    <w:rsid w:val="00333460"/>
    <w:rsid w:val="00334C24"/>
    <w:rsid w:val="00337ECC"/>
    <w:rsid w:val="00343ECE"/>
    <w:rsid w:val="00351C0D"/>
    <w:rsid w:val="0036121D"/>
    <w:rsid w:val="00362443"/>
    <w:rsid w:val="00387D02"/>
    <w:rsid w:val="0039134B"/>
    <w:rsid w:val="003A0766"/>
    <w:rsid w:val="003B00EE"/>
    <w:rsid w:val="003B41B1"/>
    <w:rsid w:val="003C0395"/>
    <w:rsid w:val="003C194C"/>
    <w:rsid w:val="003C5F39"/>
    <w:rsid w:val="003C6AF1"/>
    <w:rsid w:val="003C6CA3"/>
    <w:rsid w:val="003D6508"/>
    <w:rsid w:val="004137B0"/>
    <w:rsid w:val="0041405E"/>
    <w:rsid w:val="004221D3"/>
    <w:rsid w:val="004378E7"/>
    <w:rsid w:val="0044111C"/>
    <w:rsid w:val="004432E8"/>
    <w:rsid w:val="00445080"/>
    <w:rsid w:val="0045468D"/>
    <w:rsid w:val="00482CE8"/>
    <w:rsid w:val="004847FB"/>
    <w:rsid w:val="00491D27"/>
    <w:rsid w:val="004A4982"/>
    <w:rsid w:val="004C3028"/>
    <w:rsid w:val="004D6E0C"/>
    <w:rsid w:val="004E1E22"/>
    <w:rsid w:val="004F2825"/>
    <w:rsid w:val="00511C15"/>
    <w:rsid w:val="005153AE"/>
    <w:rsid w:val="005162AE"/>
    <w:rsid w:val="00520EF1"/>
    <w:rsid w:val="00532FD3"/>
    <w:rsid w:val="00542CEE"/>
    <w:rsid w:val="00545BD5"/>
    <w:rsid w:val="00555226"/>
    <w:rsid w:val="00557FD9"/>
    <w:rsid w:val="005869C3"/>
    <w:rsid w:val="00587E09"/>
    <w:rsid w:val="005933EF"/>
    <w:rsid w:val="005944A5"/>
    <w:rsid w:val="005A0DC8"/>
    <w:rsid w:val="005B05A0"/>
    <w:rsid w:val="005B0882"/>
    <w:rsid w:val="005B1B63"/>
    <w:rsid w:val="005C13BA"/>
    <w:rsid w:val="005C4033"/>
    <w:rsid w:val="005C7C2F"/>
    <w:rsid w:val="005E3762"/>
    <w:rsid w:val="005E3A14"/>
    <w:rsid w:val="005F428B"/>
    <w:rsid w:val="00610C38"/>
    <w:rsid w:val="006116D9"/>
    <w:rsid w:val="00623A55"/>
    <w:rsid w:val="00623B75"/>
    <w:rsid w:val="006261FA"/>
    <w:rsid w:val="0063677C"/>
    <w:rsid w:val="00666A63"/>
    <w:rsid w:val="00671508"/>
    <w:rsid w:val="00685D83"/>
    <w:rsid w:val="00686810"/>
    <w:rsid w:val="006A448F"/>
    <w:rsid w:val="006B322F"/>
    <w:rsid w:val="006D2DB3"/>
    <w:rsid w:val="006D6B82"/>
    <w:rsid w:val="006E67B1"/>
    <w:rsid w:val="00705E3A"/>
    <w:rsid w:val="007120E4"/>
    <w:rsid w:val="00730132"/>
    <w:rsid w:val="007334CA"/>
    <w:rsid w:val="00773814"/>
    <w:rsid w:val="00774992"/>
    <w:rsid w:val="007819C2"/>
    <w:rsid w:val="00791F09"/>
    <w:rsid w:val="00794D59"/>
    <w:rsid w:val="007B0E03"/>
    <w:rsid w:val="007B1CCD"/>
    <w:rsid w:val="007B3FA7"/>
    <w:rsid w:val="007E5DE3"/>
    <w:rsid w:val="00806A62"/>
    <w:rsid w:val="00813FB5"/>
    <w:rsid w:val="00816BF3"/>
    <w:rsid w:val="008179C1"/>
    <w:rsid w:val="008301BA"/>
    <w:rsid w:val="00841E86"/>
    <w:rsid w:val="00845B96"/>
    <w:rsid w:val="00853EEA"/>
    <w:rsid w:val="00870194"/>
    <w:rsid w:val="00870D11"/>
    <w:rsid w:val="00881730"/>
    <w:rsid w:val="00894DAE"/>
    <w:rsid w:val="008A785B"/>
    <w:rsid w:val="008B0F13"/>
    <w:rsid w:val="008C0886"/>
    <w:rsid w:val="008C1172"/>
    <w:rsid w:val="008C1B06"/>
    <w:rsid w:val="008C6C93"/>
    <w:rsid w:val="008D4910"/>
    <w:rsid w:val="008D54B3"/>
    <w:rsid w:val="008E50D6"/>
    <w:rsid w:val="008E6E3C"/>
    <w:rsid w:val="008F177B"/>
    <w:rsid w:val="008F399E"/>
    <w:rsid w:val="00902300"/>
    <w:rsid w:val="00913325"/>
    <w:rsid w:val="009267B0"/>
    <w:rsid w:val="0092719C"/>
    <w:rsid w:val="00935F6F"/>
    <w:rsid w:val="00944CBD"/>
    <w:rsid w:val="00955F0C"/>
    <w:rsid w:val="00974A27"/>
    <w:rsid w:val="00995F69"/>
    <w:rsid w:val="009A28FB"/>
    <w:rsid w:val="009B1A9F"/>
    <w:rsid w:val="009B54F2"/>
    <w:rsid w:val="009D54D0"/>
    <w:rsid w:val="009D6255"/>
    <w:rsid w:val="009D7B7D"/>
    <w:rsid w:val="009F2DE5"/>
    <w:rsid w:val="009F3D99"/>
    <w:rsid w:val="009F4FB0"/>
    <w:rsid w:val="00A01AF8"/>
    <w:rsid w:val="00A0788A"/>
    <w:rsid w:val="00A136AA"/>
    <w:rsid w:val="00A15FDF"/>
    <w:rsid w:val="00A16B77"/>
    <w:rsid w:val="00A1756B"/>
    <w:rsid w:val="00A22173"/>
    <w:rsid w:val="00A311EF"/>
    <w:rsid w:val="00A3254D"/>
    <w:rsid w:val="00A346AF"/>
    <w:rsid w:val="00A34B14"/>
    <w:rsid w:val="00A44BE6"/>
    <w:rsid w:val="00A519DC"/>
    <w:rsid w:val="00A650B5"/>
    <w:rsid w:val="00A661E2"/>
    <w:rsid w:val="00A662A3"/>
    <w:rsid w:val="00A71949"/>
    <w:rsid w:val="00A74389"/>
    <w:rsid w:val="00A841A9"/>
    <w:rsid w:val="00A856B7"/>
    <w:rsid w:val="00AA15DA"/>
    <w:rsid w:val="00AA5155"/>
    <w:rsid w:val="00AA584A"/>
    <w:rsid w:val="00AB1FD1"/>
    <w:rsid w:val="00AD7BFC"/>
    <w:rsid w:val="00AE093C"/>
    <w:rsid w:val="00AE1738"/>
    <w:rsid w:val="00AF13B3"/>
    <w:rsid w:val="00AF259D"/>
    <w:rsid w:val="00AF2696"/>
    <w:rsid w:val="00B00D4D"/>
    <w:rsid w:val="00B11A35"/>
    <w:rsid w:val="00B11B73"/>
    <w:rsid w:val="00B11EB3"/>
    <w:rsid w:val="00B11F96"/>
    <w:rsid w:val="00B13F14"/>
    <w:rsid w:val="00B272F1"/>
    <w:rsid w:val="00B27941"/>
    <w:rsid w:val="00B33AAA"/>
    <w:rsid w:val="00B458EB"/>
    <w:rsid w:val="00B460E8"/>
    <w:rsid w:val="00B50AB8"/>
    <w:rsid w:val="00B51E08"/>
    <w:rsid w:val="00B57464"/>
    <w:rsid w:val="00B61036"/>
    <w:rsid w:val="00B72DD3"/>
    <w:rsid w:val="00B7335C"/>
    <w:rsid w:val="00B939A6"/>
    <w:rsid w:val="00B97BC5"/>
    <w:rsid w:val="00BA1B63"/>
    <w:rsid w:val="00BB5B77"/>
    <w:rsid w:val="00BB60CF"/>
    <w:rsid w:val="00BD576D"/>
    <w:rsid w:val="00BE21A0"/>
    <w:rsid w:val="00BE4E06"/>
    <w:rsid w:val="00BF0C8C"/>
    <w:rsid w:val="00BF1E3B"/>
    <w:rsid w:val="00BF4CCB"/>
    <w:rsid w:val="00C02367"/>
    <w:rsid w:val="00C36BC1"/>
    <w:rsid w:val="00C475E1"/>
    <w:rsid w:val="00C479D0"/>
    <w:rsid w:val="00C628C4"/>
    <w:rsid w:val="00C63254"/>
    <w:rsid w:val="00C75D9C"/>
    <w:rsid w:val="00C874C0"/>
    <w:rsid w:val="00CA2FF5"/>
    <w:rsid w:val="00CA6F07"/>
    <w:rsid w:val="00CA704F"/>
    <w:rsid w:val="00CB1D9D"/>
    <w:rsid w:val="00CB49DA"/>
    <w:rsid w:val="00CB530F"/>
    <w:rsid w:val="00CB6871"/>
    <w:rsid w:val="00CC1F19"/>
    <w:rsid w:val="00CC4FDA"/>
    <w:rsid w:val="00CC6A8B"/>
    <w:rsid w:val="00CC7AB9"/>
    <w:rsid w:val="00CC7E71"/>
    <w:rsid w:val="00CE1BE7"/>
    <w:rsid w:val="00CF4EBF"/>
    <w:rsid w:val="00CF6944"/>
    <w:rsid w:val="00D00C7E"/>
    <w:rsid w:val="00D00DD7"/>
    <w:rsid w:val="00D01335"/>
    <w:rsid w:val="00D03EC6"/>
    <w:rsid w:val="00D06C03"/>
    <w:rsid w:val="00D1526C"/>
    <w:rsid w:val="00D23EB6"/>
    <w:rsid w:val="00D261DF"/>
    <w:rsid w:val="00D27287"/>
    <w:rsid w:val="00D3312B"/>
    <w:rsid w:val="00D37865"/>
    <w:rsid w:val="00D45200"/>
    <w:rsid w:val="00D508E2"/>
    <w:rsid w:val="00D57367"/>
    <w:rsid w:val="00D646CB"/>
    <w:rsid w:val="00D66EBE"/>
    <w:rsid w:val="00D74AB2"/>
    <w:rsid w:val="00D84AE3"/>
    <w:rsid w:val="00D92A34"/>
    <w:rsid w:val="00DC0CD9"/>
    <w:rsid w:val="00DC7F1E"/>
    <w:rsid w:val="00DD1E75"/>
    <w:rsid w:val="00DD3BCD"/>
    <w:rsid w:val="00DD3DB5"/>
    <w:rsid w:val="00DD500F"/>
    <w:rsid w:val="00DD6346"/>
    <w:rsid w:val="00DF3987"/>
    <w:rsid w:val="00DF7C96"/>
    <w:rsid w:val="00E001FE"/>
    <w:rsid w:val="00E0331A"/>
    <w:rsid w:val="00E15F0B"/>
    <w:rsid w:val="00E16F24"/>
    <w:rsid w:val="00E232DE"/>
    <w:rsid w:val="00E35A89"/>
    <w:rsid w:val="00E413AC"/>
    <w:rsid w:val="00E57C9D"/>
    <w:rsid w:val="00E66CCD"/>
    <w:rsid w:val="00E81F3D"/>
    <w:rsid w:val="00E83FC3"/>
    <w:rsid w:val="00E86B71"/>
    <w:rsid w:val="00E90C3C"/>
    <w:rsid w:val="00E92255"/>
    <w:rsid w:val="00E9414F"/>
    <w:rsid w:val="00EB4F0D"/>
    <w:rsid w:val="00EB62E7"/>
    <w:rsid w:val="00EC5633"/>
    <w:rsid w:val="00ED1218"/>
    <w:rsid w:val="00EE23CC"/>
    <w:rsid w:val="00F022E8"/>
    <w:rsid w:val="00F04FA4"/>
    <w:rsid w:val="00F06CDE"/>
    <w:rsid w:val="00F07376"/>
    <w:rsid w:val="00F15F1E"/>
    <w:rsid w:val="00F21CA9"/>
    <w:rsid w:val="00F231DD"/>
    <w:rsid w:val="00F24096"/>
    <w:rsid w:val="00F414EF"/>
    <w:rsid w:val="00F47542"/>
    <w:rsid w:val="00F557D0"/>
    <w:rsid w:val="00F73AA5"/>
    <w:rsid w:val="00F75259"/>
    <w:rsid w:val="00F848E5"/>
    <w:rsid w:val="00FA6659"/>
    <w:rsid w:val="00FB1D61"/>
    <w:rsid w:val="00FB351B"/>
    <w:rsid w:val="00FB4DAF"/>
    <w:rsid w:val="00FC0187"/>
    <w:rsid w:val="00FC3652"/>
    <w:rsid w:val="00FC66C4"/>
    <w:rsid w:val="00FD228B"/>
    <w:rsid w:val="00FD7B6F"/>
    <w:rsid w:val="00FE3721"/>
    <w:rsid w:val="00FE4789"/>
    <w:rsid w:val="00FE5BA6"/>
    <w:rsid w:val="00FF02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LU" w:eastAsia="fr-L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B96"/>
    <w:pPr>
      <w:spacing w:after="200" w:line="276" w:lineRule="auto"/>
    </w:pPr>
    <w:rPr>
      <w:rFonts w:cs="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A28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28FB"/>
    <w:rPr>
      <w:rFonts w:ascii="Tahoma" w:hAnsi="Tahoma" w:cs="Tahoma"/>
      <w:sz w:val="16"/>
      <w:szCs w:val="16"/>
    </w:rPr>
  </w:style>
  <w:style w:type="paragraph" w:customStyle="1" w:styleId="newsTitle">
    <w:name w:val="newsTitle"/>
    <w:basedOn w:val="Normal"/>
    <w:autoRedefine/>
    <w:uiPriority w:val="99"/>
    <w:rsid w:val="002504CE"/>
    <w:pPr>
      <w:tabs>
        <w:tab w:val="left" w:pos="5205"/>
      </w:tabs>
      <w:spacing w:before="480" w:after="112" w:line="240" w:lineRule="auto"/>
    </w:pPr>
    <w:rPr>
      <w:rFonts w:ascii="Arial" w:hAnsi="Arial" w:cs="Arial"/>
      <w:caps/>
      <w:sz w:val="24"/>
      <w:szCs w:val="24"/>
    </w:rPr>
  </w:style>
  <w:style w:type="paragraph" w:styleId="Header">
    <w:name w:val="header"/>
    <w:basedOn w:val="Normal"/>
    <w:link w:val="HeaderChar"/>
    <w:uiPriority w:val="99"/>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uiPriority w:val="99"/>
    <w:rsid w:val="00A661E2"/>
    <w:rPr>
      <w:rFonts w:ascii="Arial" w:hAnsi="Arial" w:cs="Arial"/>
      <w:color w:val="003399"/>
      <w:sz w:val="17"/>
      <w:szCs w:val="17"/>
      <w:u w:val="none"/>
    </w:rPr>
  </w:style>
  <w:style w:type="paragraph" w:customStyle="1" w:styleId="newsSubTitle">
    <w:name w:val="newsSubTitle"/>
    <w:basedOn w:val="Normal"/>
    <w:autoRedefine/>
    <w:uiPriority w:val="99"/>
    <w:rsid w:val="002129CB"/>
    <w:pPr>
      <w:spacing w:after="300" w:line="300" w:lineRule="exact"/>
      <w:jc w:val="both"/>
    </w:pPr>
    <w:rPr>
      <w:rFonts w:ascii="Arial" w:hAnsi="Arial" w:cs="Arial"/>
      <w:b/>
      <w:bCs/>
      <w:sz w:val="24"/>
      <w:szCs w:val="24"/>
    </w:rPr>
  </w:style>
  <w:style w:type="paragraph" w:customStyle="1" w:styleId="newsContent">
    <w:name w:val="newsContent"/>
    <w:basedOn w:val="Normal"/>
    <w:link w:val="newsContentChar"/>
    <w:autoRedefine/>
    <w:uiPriority w:val="99"/>
    <w:rsid w:val="00A519DC"/>
    <w:pPr>
      <w:spacing w:after="0" w:line="260" w:lineRule="exact"/>
    </w:pPr>
    <w:rPr>
      <w:rFonts w:ascii="Arial" w:hAnsi="Arial" w:cs="Arial"/>
      <w:color w:val="000000"/>
      <w:sz w:val="20"/>
      <w:szCs w:val="20"/>
    </w:rPr>
  </w:style>
  <w:style w:type="paragraph" w:customStyle="1" w:styleId="newsAddress">
    <w:name w:val="newsAddress"/>
    <w:basedOn w:val="Footer"/>
    <w:autoRedefine/>
    <w:uiPriority w:val="99"/>
    <w:rsid w:val="00FE3721"/>
    <w:pPr>
      <w:framePr w:wrap="around" w:vAnchor="text" w:hAnchor="page" w:x="852" w:y="1"/>
      <w:tabs>
        <w:tab w:val="clear" w:pos="9072"/>
        <w:tab w:val="right" w:pos="7371"/>
      </w:tabs>
      <w:spacing w:line="200" w:lineRule="exact"/>
    </w:pPr>
    <w:rPr>
      <w:rFonts w:ascii="Arial" w:hAnsi="Arial" w:cs="Arial"/>
      <w:sz w:val="14"/>
      <w:szCs w:val="14"/>
    </w:rPr>
  </w:style>
  <w:style w:type="paragraph" w:customStyle="1" w:styleId="newsReference">
    <w:name w:val="newsReference"/>
    <w:basedOn w:val="Normal"/>
    <w:autoRedefine/>
    <w:uiPriority w:val="99"/>
    <w:rsid w:val="002504CE"/>
    <w:pPr>
      <w:spacing w:after="0" w:line="200" w:lineRule="exact"/>
      <w:ind w:left="1819" w:hanging="1026"/>
    </w:pPr>
    <w:rPr>
      <w:rFonts w:ascii="Arial" w:hAnsi="Arial" w:cs="Arial"/>
      <w:sz w:val="14"/>
      <w:szCs w:val="14"/>
    </w:rPr>
  </w:style>
  <w:style w:type="paragraph" w:customStyle="1" w:styleId="newsRef">
    <w:name w:val="newsRef"/>
    <w:basedOn w:val="newsAddress"/>
    <w:autoRedefine/>
    <w:uiPriority w:val="99"/>
    <w:rsid w:val="00B97BC5"/>
    <w:pPr>
      <w:framePr w:wrap="around"/>
      <w:tabs>
        <w:tab w:val="clear" w:pos="4536"/>
        <w:tab w:val="right" w:pos="6946"/>
        <w:tab w:val="left" w:pos="8505"/>
      </w:tabs>
      <w:ind w:right="-569"/>
    </w:pPr>
  </w:style>
  <w:style w:type="character" w:styleId="PlaceholderText">
    <w:name w:val="Placeholder Text"/>
    <w:uiPriority w:val="99"/>
    <w:semiHidden/>
    <w:rsid w:val="00730132"/>
    <w:rPr>
      <w:color w:val="808080"/>
    </w:rPr>
  </w:style>
  <w:style w:type="paragraph" w:customStyle="1" w:styleId="newsCoordinates">
    <w:name w:val="newsCoordinates"/>
    <w:basedOn w:val="Footer"/>
    <w:autoRedefine/>
    <w:uiPriority w:val="99"/>
    <w:rsid w:val="00FC0187"/>
    <w:pPr>
      <w:tabs>
        <w:tab w:val="clear" w:pos="9072"/>
        <w:tab w:val="right" w:pos="8222"/>
      </w:tabs>
      <w:spacing w:line="200" w:lineRule="exact"/>
      <w:ind w:left="84"/>
    </w:pPr>
    <w:rPr>
      <w:rFonts w:ascii="Arial" w:hAnsi="Arial" w:cs="Arial"/>
      <w:sz w:val="14"/>
      <w:szCs w:val="14"/>
    </w:rPr>
  </w:style>
  <w:style w:type="paragraph" w:customStyle="1" w:styleId="newsEmbargo">
    <w:name w:val="newsEmbargo"/>
    <w:basedOn w:val="newsCoordinates"/>
    <w:autoRedefine/>
    <w:uiPriority w:val="99"/>
    <w:rsid w:val="002948E2"/>
    <w:rPr>
      <w:color w:val="000000"/>
      <w:sz w:val="15"/>
      <w:szCs w:val="15"/>
    </w:rPr>
  </w:style>
  <w:style w:type="paragraph" w:customStyle="1" w:styleId="newsDate">
    <w:name w:val="newsDate"/>
    <w:basedOn w:val="newsEmbargo"/>
    <w:autoRedefine/>
    <w:uiPriority w:val="99"/>
    <w:rsid w:val="00B97BC5"/>
    <w:pPr>
      <w:jc w:val="center"/>
    </w:pPr>
  </w:style>
  <w:style w:type="paragraph" w:customStyle="1" w:styleId="newsNotes">
    <w:name w:val="newsNotes"/>
    <w:basedOn w:val="newsContent"/>
    <w:link w:val="newsNotesChar"/>
    <w:autoRedefine/>
    <w:uiPriority w:val="99"/>
    <w:rsid w:val="00CB49DA"/>
    <w:pPr>
      <w:spacing w:line="220" w:lineRule="exact"/>
    </w:pPr>
    <w:rPr>
      <w:color w:val="auto"/>
      <w:sz w:val="17"/>
      <w:szCs w:val="17"/>
    </w:rPr>
  </w:style>
  <w:style w:type="table" w:styleId="TableGrid">
    <w:name w:val="Table Grid"/>
    <w:basedOn w:val="TableNormal"/>
    <w:uiPriority w:val="99"/>
    <w:rsid w:val="00FE478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uiPriority w:val="99"/>
    <w:rsid w:val="00D84AE3"/>
    <w:rPr>
      <w:rFonts w:ascii="Comic Sans MS" w:eastAsia="Times New Roman" w:hAnsi="Comic Sans MS" w:cs="Comic Sans MS"/>
      <w:color w:val="0000FF"/>
      <w:sz w:val="24"/>
      <w:szCs w:val="24"/>
      <w:lang w:val="el-GR" w:eastAsia="el-GR"/>
    </w:rPr>
  </w:style>
  <w:style w:type="paragraph" w:customStyle="1" w:styleId="newsNotesNumber">
    <w:name w:val="newsNotesNumber"/>
    <w:basedOn w:val="newsNotes"/>
    <w:next w:val="Normal"/>
    <w:link w:val="newsNotesNumberChar"/>
    <w:autoRedefine/>
    <w:uiPriority w:val="99"/>
    <w:rsid w:val="00CB49DA"/>
    <w:rPr>
      <w:vertAlign w:val="superscript"/>
    </w:rPr>
  </w:style>
  <w:style w:type="character" w:customStyle="1" w:styleId="newsContentChar">
    <w:name w:val="newsContent Char"/>
    <w:link w:val="newsContent"/>
    <w:uiPriority w:val="99"/>
    <w:rsid w:val="00A519DC"/>
    <w:rPr>
      <w:rFonts w:ascii="Arial" w:hAnsi="Arial" w:cs="Arial"/>
      <w:color w:val="000000"/>
      <w:sz w:val="20"/>
      <w:szCs w:val="20"/>
    </w:rPr>
  </w:style>
  <w:style w:type="character" w:customStyle="1" w:styleId="newsNotesChar">
    <w:name w:val="newsNotes Char"/>
    <w:link w:val="newsNotes"/>
    <w:uiPriority w:val="99"/>
    <w:rsid w:val="00CB49DA"/>
    <w:rPr>
      <w:rFonts w:ascii="Arial" w:hAnsi="Arial" w:cs="Arial"/>
      <w:color w:val="000000"/>
      <w:sz w:val="20"/>
      <w:szCs w:val="20"/>
    </w:rPr>
  </w:style>
  <w:style w:type="character" w:customStyle="1" w:styleId="newsNotesNumberChar">
    <w:name w:val="newsNotesNumber Char"/>
    <w:link w:val="newsNotesNumber"/>
    <w:uiPriority w:val="99"/>
    <w:rsid w:val="00CB49DA"/>
    <w:rPr>
      <w:rFonts w:ascii="Arial" w:hAnsi="Arial" w:cs="Arial"/>
      <w:color w:val="000000"/>
      <w:sz w:val="20"/>
      <w:szCs w:val="20"/>
      <w:vertAlign w:val="superscript"/>
    </w:rPr>
  </w:style>
  <w:style w:type="paragraph" w:styleId="ListParagraph">
    <w:name w:val="List Paragraph"/>
    <w:basedOn w:val="Normal"/>
    <w:uiPriority w:val="99"/>
    <w:qFormat/>
    <w:rsid w:val="006261FA"/>
    <w:pPr>
      <w:ind w:left="720"/>
      <w:contextualSpacing/>
    </w:pPr>
  </w:style>
  <w:style w:type="paragraph" w:styleId="Title">
    <w:name w:val="Title"/>
    <w:basedOn w:val="Normal"/>
    <w:next w:val="Normal"/>
    <w:link w:val="TitleChar"/>
    <w:uiPriority w:val="99"/>
    <w:qFormat/>
    <w:rsid w:val="000D5E92"/>
    <w:pPr>
      <w:pBdr>
        <w:bottom w:val="single" w:sz="4" w:space="1" w:color="auto"/>
      </w:pBdr>
      <w:spacing w:line="240" w:lineRule="auto"/>
      <w:contextualSpacing/>
    </w:pPr>
    <w:rPr>
      <w:rFonts w:ascii="Cambria" w:eastAsia="Times New Roman" w:hAnsi="Cambria" w:cs="Cambria"/>
      <w:spacing w:val="5"/>
      <w:sz w:val="52"/>
      <w:szCs w:val="52"/>
    </w:rPr>
  </w:style>
  <w:style w:type="character" w:customStyle="1" w:styleId="TitleChar">
    <w:name w:val="Title Char"/>
    <w:link w:val="Title"/>
    <w:uiPriority w:val="99"/>
    <w:rsid w:val="000D5E92"/>
    <w:rPr>
      <w:rFonts w:ascii="Cambria" w:hAnsi="Cambria" w:cs="Cambria"/>
      <w:spacing w:val="5"/>
      <w:sz w:val="52"/>
      <w:szCs w:val="52"/>
    </w:rPr>
  </w:style>
  <w:style w:type="paragraph" w:styleId="CommentText">
    <w:name w:val="annotation text"/>
    <w:basedOn w:val="Normal"/>
    <w:link w:val="CommentTextChar"/>
    <w:uiPriority w:val="99"/>
    <w:semiHidden/>
    <w:rsid w:val="006E67B1"/>
    <w:pPr>
      <w:spacing w:line="240" w:lineRule="auto"/>
    </w:pPr>
    <w:rPr>
      <w:sz w:val="20"/>
      <w:szCs w:val="20"/>
    </w:rPr>
  </w:style>
  <w:style w:type="character" w:customStyle="1" w:styleId="CommentTextChar">
    <w:name w:val="Comment Text Char"/>
    <w:link w:val="CommentText"/>
    <w:uiPriority w:val="99"/>
    <w:rsid w:val="006E67B1"/>
    <w:rPr>
      <w:sz w:val="20"/>
      <w:szCs w:val="20"/>
    </w:rPr>
  </w:style>
  <w:style w:type="character" w:styleId="CommentReference">
    <w:name w:val="annotation reference"/>
    <w:uiPriority w:val="99"/>
    <w:semiHidden/>
    <w:rsid w:val="00CC7AB9"/>
    <w:rPr>
      <w:sz w:val="16"/>
      <w:szCs w:val="16"/>
    </w:rPr>
  </w:style>
  <w:style w:type="paragraph" w:styleId="CommentSubject">
    <w:name w:val="annotation subject"/>
    <w:basedOn w:val="CommentText"/>
    <w:next w:val="CommentText"/>
    <w:link w:val="CommentSubjectChar"/>
    <w:uiPriority w:val="99"/>
    <w:semiHidden/>
    <w:rsid w:val="00CC7AB9"/>
    <w:rPr>
      <w:b/>
      <w:bCs/>
    </w:rPr>
  </w:style>
  <w:style w:type="character" w:customStyle="1" w:styleId="CommentSubjectChar">
    <w:name w:val="Comment Subject Char"/>
    <w:link w:val="CommentSubject"/>
    <w:uiPriority w:val="99"/>
    <w:semiHidden/>
    <w:rsid w:val="00CC7AB9"/>
    <w:rPr>
      <w:b/>
      <w:bCs/>
      <w:sz w:val="20"/>
      <w:szCs w:val="20"/>
    </w:rPr>
  </w:style>
  <w:style w:type="paragraph" w:customStyle="1" w:styleId="newscontent0">
    <w:name w:val="newscontent"/>
    <w:basedOn w:val="Normal"/>
    <w:uiPriority w:val="99"/>
    <w:rsid w:val="00DD3D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LU" w:eastAsia="fr-L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556">
      <w:marLeft w:val="0"/>
      <w:marRight w:val="0"/>
      <w:marTop w:val="0"/>
      <w:marBottom w:val="0"/>
      <w:divBdr>
        <w:top w:val="none" w:sz="0" w:space="0" w:color="auto"/>
        <w:left w:val="none" w:sz="0" w:space="0" w:color="auto"/>
        <w:bottom w:val="none" w:sz="0" w:space="0" w:color="auto"/>
        <w:right w:val="none" w:sz="0" w:space="0" w:color="auto"/>
      </w:divBdr>
    </w:div>
    <w:div w:id="26103557">
      <w:marLeft w:val="0"/>
      <w:marRight w:val="0"/>
      <w:marTop w:val="0"/>
      <w:marBottom w:val="0"/>
      <w:divBdr>
        <w:top w:val="none" w:sz="0" w:space="0" w:color="auto"/>
        <w:left w:val="none" w:sz="0" w:space="0" w:color="auto"/>
        <w:bottom w:val="none" w:sz="0" w:space="0" w:color="auto"/>
        <w:right w:val="none" w:sz="0" w:space="0" w:color="auto"/>
      </w:divBdr>
    </w:div>
    <w:div w:id="26103558">
      <w:marLeft w:val="0"/>
      <w:marRight w:val="0"/>
      <w:marTop w:val="0"/>
      <w:marBottom w:val="0"/>
      <w:divBdr>
        <w:top w:val="none" w:sz="0" w:space="0" w:color="auto"/>
        <w:left w:val="none" w:sz="0" w:space="0" w:color="auto"/>
        <w:bottom w:val="none" w:sz="0" w:space="0" w:color="auto"/>
        <w:right w:val="none" w:sz="0" w:space="0" w:color="auto"/>
      </w:divBdr>
    </w:div>
    <w:div w:id="26103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1509</Words>
  <Characters>8606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10095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
  <cp:revision>2</cp:revision>
  <dcterms:created xsi:type="dcterms:W3CDTF">2014-05-14T07:51:00Z</dcterms:created>
  <dcterms:modified xsi:type="dcterms:W3CDTF">2014-05-22T13:28:00Z</dcterms:modified>
</cp:coreProperties>
</file>