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8C2B82" w:rsidTr="001F70B4">
        <w:trPr>
          <w:trHeight w:val="1695"/>
        </w:trPr>
        <w:tc>
          <w:tcPr>
            <w:tcW w:w="2331" w:type="pct"/>
          </w:tcPr>
          <w:p w:rsidR="00EE23CC" w:rsidRPr="008C2B82" w:rsidRDefault="00182C5A" w:rsidP="00EE23CC">
            <w:pPr>
              <w:spacing w:after="200" w:line="276" w:lineRule="auto"/>
            </w:pPr>
            <w:r w:rsidRPr="00F07CDA">
              <w:rPr>
                <w:noProof/>
                <w:lang w:val="en-GB" w:eastAsia="en-GB"/>
              </w:rPr>
              <w:drawing>
                <wp:inline distT="0" distB="0" distL="0" distR="0" wp14:anchorId="619DD2D7" wp14:editId="7EAE7544">
                  <wp:extent cx="2731485" cy="612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48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D32AF5" w:rsidRPr="008C2B82" w:rsidRDefault="00D32AF5">
            <w:pPr>
              <w:spacing w:after="200" w:line="276" w:lineRule="auto"/>
            </w:pPr>
          </w:p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8C2B82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8C2B82" w:rsidRDefault="00182C5A" w:rsidP="001F70B4">
            <w:pPr>
              <w:spacing w:after="200" w:line="276" w:lineRule="auto"/>
            </w:pPr>
            <w:r w:rsidRPr="00F07CDA">
              <w:rPr>
                <w:noProof/>
                <w:lang w:val="en-GB" w:eastAsia="en-GB"/>
              </w:rPr>
              <w:drawing>
                <wp:inline distT="0" distB="0" distL="0" distR="0" wp14:anchorId="05D5B8E1" wp14:editId="732236EC">
                  <wp:extent cx="7562850" cy="92096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AF5" w:rsidRPr="008C2B82" w:rsidRDefault="003F2F7B" w:rsidP="00937A98">
      <w:pPr>
        <w:pStyle w:val="newsTitle"/>
        <w:rPr>
          <w:b/>
        </w:rPr>
      </w:pPr>
      <w:r w:rsidRPr="008C2B82">
        <w:t xml:space="preserve">EVROPSKÁ </w:t>
      </w:r>
      <w:r w:rsidR="00880AA6" w:rsidRPr="008C2B82">
        <w:t>Zpráva o </w:t>
      </w:r>
      <w:r w:rsidRPr="008C2B82">
        <w:t>DROGÁCH</w:t>
      </w:r>
      <w:r w:rsidR="00880AA6" w:rsidRPr="008C2B82">
        <w:t xml:space="preserve"> 2014 – Pohledy na </w:t>
      </w:r>
      <w:r w:rsidR="00182C5A" w:rsidRPr="008C2B82">
        <w:t>DROGY</w:t>
      </w:r>
      <w:r w:rsidR="00880AA6" w:rsidRPr="008C2B82">
        <w:t xml:space="preserve"> </w:t>
      </w:r>
    </w:p>
    <w:p w:rsidR="00D32AF5" w:rsidRPr="008C2B82" w:rsidRDefault="00880AA6">
      <w:pPr>
        <w:pStyle w:val="newsSubTitle"/>
      </w:pPr>
      <w:r w:rsidRPr="008C2B82">
        <w:t xml:space="preserve">Agentura EU pro drogy </w:t>
      </w:r>
      <w:r w:rsidR="00116AD1" w:rsidRPr="008C2B82">
        <w:t>poukazuje</w:t>
      </w:r>
      <w:r w:rsidRPr="008C2B82">
        <w:t xml:space="preserve"> </w:t>
      </w:r>
      <w:r w:rsidR="003F2F7B" w:rsidRPr="008C2B82">
        <w:t xml:space="preserve">ve svých nových on-line analýzách </w:t>
      </w:r>
      <w:r w:rsidRPr="008C2B82">
        <w:t xml:space="preserve">na šest témat </w:t>
      </w:r>
    </w:p>
    <w:p w:rsidR="00D32AF5" w:rsidRPr="008C2B82" w:rsidRDefault="00880AA6">
      <w:pPr>
        <w:pStyle w:val="newsContent"/>
      </w:pPr>
      <w:r w:rsidRPr="008C2B82">
        <w:t>(27.</w:t>
      </w:r>
      <w:r w:rsidR="00182C5A" w:rsidRPr="008C2B82">
        <w:t xml:space="preserve"> </w:t>
      </w:r>
      <w:r w:rsidRPr="008C2B82">
        <w:t>5.</w:t>
      </w:r>
      <w:r w:rsidR="00182C5A" w:rsidRPr="008C2B82">
        <w:t xml:space="preserve"> </w:t>
      </w:r>
      <w:r w:rsidRPr="008C2B82">
        <w:t xml:space="preserve">2014, LISABON </w:t>
      </w:r>
      <w:r w:rsidRPr="00937A98">
        <w:rPr>
          <w:b/>
          <w:color w:val="FF0000"/>
        </w:rPr>
        <w:t>EMBARGO do 10:00 ZEČ</w:t>
      </w:r>
      <w:r w:rsidR="00182C5A" w:rsidRPr="00937A98">
        <w:rPr>
          <w:b/>
          <w:color w:val="FF0000"/>
        </w:rPr>
        <w:t xml:space="preserve"> </w:t>
      </w:r>
      <w:r w:rsidRPr="00937A98">
        <w:rPr>
          <w:b/>
          <w:color w:val="FF0000"/>
        </w:rPr>
        <w:t>/</w:t>
      </w:r>
      <w:r w:rsidR="00182C5A" w:rsidRPr="00937A98">
        <w:rPr>
          <w:b/>
          <w:color w:val="FF0000"/>
        </w:rPr>
        <w:t xml:space="preserve"> </w:t>
      </w:r>
      <w:r w:rsidRPr="00937A98">
        <w:rPr>
          <w:b/>
          <w:color w:val="FF0000"/>
        </w:rPr>
        <w:t>lisabonského času</w:t>
      </w:r>
      <w:r w:rsidRPr="008C2B82">
        <w:t xml:space="preserve">) </w:t>
      </w:r>
      <w:r w:rsidRPr="008C2B82">
        <w:rPr>
          <w:b/>
        </w:rPr>
        <w:t>Agentura EU pro drogy (EMCDDA)</w:t>
      </w:r>
      <w:r w:rsidRPr="008C2B82">
        <w:t xml:space="preserve"> dnes společně se svou </w:t>
      </w:r>
      <w:r w:rsidR="003F2F7B" w:rsidRPr="00937A98">
        <w:rPr>
          <w:b/>
          <w:i/>
        </w:rPr>
        <w:t>Evropskou z</w:t>
      </w:r>
      <w:r w:rsidRPr="00937A98">
        <w:rPr>
          <w:b/>
          <w:i/>
        </w:rPr>
        <w:t>právou o </w:t>
      </w:r>
      <w:r w:rsidR="003F2F7B" w:rsidRPr="00937A98">
        <w:rPr>
          <w:b/>
          <w:i/>
        </w:rPr>
        <w:t>drogách</w:t>
      </w:r>
      <w:r w:rsidRPr="00937A98">
        <w:rPr>
          <w:b/>
          <w:i/>
        </w:rPr>
        <w:t xml:space="preserve"> 2014: </w:t>
      </w:r>
      <w:r w:rsidR="00937A98">
        <w:rPr>
          <w:b/>
          <w:i/>
        </w:rPr>
        <w:t>t</w:t>
      </w:r>
      <w:r w:rsidR="003F2F7B" w:rsidRPr="00937A98">
        <w:rPr>
          <w:b/>
          <w:i/>
        </w:rPr>
        <w:t xml:space="preserve">rendy </w:t>
      </w:r>
      <w:r w:rsidRPr="00937A98">
        <w:rPr>
          <w:b/>
          <w:i/>
        </w:rPr>
        <w:t>a vývoj</w:t>
      </w:r>
      <w:r w:rsidRPr="008C2B82">
        <w:t xml:space="preserve"> </w:t>
      </w:r>
      <w:r w:rsidR="003F2F7B" w:rsidRPr="008C2B82">
        <w:t xml:space="preserve">zveřejňuje </w:t>
      </w:r>
      <w:r w:rsidRPr="008C2B82">
        <w:t xml:space="preserve">šest nových dodatků ke své sérii </w:t>
      </w:r>
      <w:r w:rsidRPr="008C2B82">
        <w:rPr>
          <w:b/>
        </w:rPr>
        <w:t>Pohledy na drogy</w:t>
      </w:r>
      <w:r w:rsidRPr="008C2B82">
        <w:t xml:space="preserve">. Tento poslední soubor interaktivních on-line analýz poskytuje nejaktuálnější přehled klíčových aspektů drogové situace v Evropě. Série </w:t>
      </w:r>
      <w:r w:rsidRPr="00937A98">
        <w:rPr>
          <w:b/>
        </w:rPr>
        <w:t>Pohledy na drogy</w:t>
      </w:r>
      <w:r w:rsidRPr="008C2B82">
        <w:t xml:space="preserve"> zkoumá vznikající obavy ohledně užívání </w:t>
      </w:r>
      <w:r w:rsidR="00116AD1" w:rsidRPr="008C2B82">
        <w:t>stimulancií</w:t>
      </w:r>
      <w:r w:rsidRPr="008C2B82">
        <w:t xml:space="preserve">, nový vývoj na evropském trhu s konopím, </w:t>
      </w:r>
      <w:r w:rsidR="003F2F7B" w:rsidRPr="008C2B82">
        <w:t xml:space="preserve">jakož i </w:t>
      </w:r>
      <w:r w:rsidRPr="008C2B82">
        <w:t>pokrok v léčbě prostřednictvím internetu a analýzu odpadních vod.</w:t>
      </w:r>
    </w:p>
    <w:p w:rsidR="00D32AF5" w:rsidRPr="008C2B82" w:rsidRDefault="00D32AF5">
      <w:pPr>
        <w:pStyle w:val="newsContent"/>
      </w:pPr>
    </w:p>
    <w:p w:rsidR="00D32AF5" w:rsidRPr="008C2B82" w:rsidRDefault="00880AA6">
      <w:pPr>
        <w:pStyle w:val="newsContent"/>
      </w:pPr>
      <w:r w:rsidRPr="008C2B82">
        <w:rPr>
          <w:b/>
        </w:rPr>
        <w:t>Syntetické katinony: znepokojivý výskyt injekčního užívání na místní</w:t>
      </w:r>
      <w:r w:rsidR="00EB475A" w:rsidRPr="008C2B82">
        <w:rPr>
          <w:b/>
        </w:rPr>
        <w:t xml:space="preserve"> a </w:t>
      </w:r>
      <w:r w:rsidRPr="008C2B82">
        <w:rPr>
          <w:b/>
        </w:rPr>
        <w:t>národní úrovni</w:t>
      </w:r>
    </w:p>
    <w:p w:rsidR="00D32AF5" w:rsidRPr="008C2B82" w:rsidRDefault="00880AA6">
      <w:pPr>
        <w:pStyle w:val="newsContent"/>
      </w:pPr>
      <w:r w:rsidRPr="008C2B82">
        <w:t xml:space="preserve"> </w:t>
      </w:r>
    </w:p>
    <w:p w:rsidR="00D32AF5" w:rsidRPr="008C2B82" w:rsidRDefault="00880AA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 xml:space="preserve">Pomocí </w:t>
      </w:r>
      <w:r w:rsidRPr="008C2B82">
        <w:rPr>
          <w:rFonts w:ascii="Arial" w:hAnsi="Arial" w:cs="Arial"/>
          <w:b/>
          <w:sz w:val="20"/>
          <w:szCs w:val="20"/>
        </w:rPr>
        <w:t>systému včasného varování EU</w:t>
      </w:r>
      <w:r w:rsidRPr="008C2B82">
        <w:rPr>
          <w:rFonts w:ascii="Arial" w:hAnsi="Arial" w:cs="Arial"/>
          <w:sz w:val="20"/>
          <w:szCs w:val="20"/>
        </w:rPr>
        <w:t xml:space="preserve"> bylo v letech 2005–2013 </w:t>
      </w:r>
      <w:r w:rsidR="003F2F7B" w:rsidRPr="008C2B82">
        <w:rPr>
          <w:rFonts w:ascii="Arial" w:hAnsi="Arial" w:cs="Arial"/>
          <w:sz w:val="20"/>
          <w:szCs w:val="20"/>
        </w:rPr>
        <w:t xml:space="preserve">odhaleno </w:t>
      </w:r>
      <w:r w:rsidRPr="008C2B82">
        <w:rPr>
          <w:rFonts w:ascii="Arial" w:hAnsi="Arial" w:cs="Arial"/>
          <w:sz w:val="20"/>
          <w:szCs w:val="20"/>
        </w:rPr>
        <w:t>více než 50 syntetických derivátů katinonu (</w:t>
      </w:r>
      <w:r w:rsidR="00116AD1" w:rsidRPr="00F07CDA">
        <w:rPr>
          <w:rFonts w:ascii="Arial" w:hAnsi="Arial" w:cs="Arial"/>
          <w:sz w:val="20"/>
          <w:szCs w:val="20"/>
        </w:rPr>
        <w:t>stimula</w:t>
      </w:r>
      <w:r w:rsidR="000607B9">
        <w:rPr>
          <w:rFonts w:ascii="Arial" w:hAnsi="Arial" w:cs="Arial"/>
          <w:sz w:val="20"/>
          <w:szCs w:val="20"/>
        </w:rPr>
        <w:t>ční drogy</w:t>
      </w:r>
      <w:r w:rsidRPr="00F07CDA">
        <w:rPr>
          <w:rFonts w:ascii="Arial" w:hAnsi="Arial" w:cs="Arial"/>
          <w:sz w:val="20"/>
          <w:szCs w:val="20"/>
        </w:rPr>
        <w:t>). K</w:t>
      </w:r>
      <w:r w:rsidR="003F2F7B" w:rsidRPr="00F07CDA">
        <w:rPr>
          <w:rFonts w:ascii="Arial" w:hAnsi="Arial" w:cs="Arial"/>
          <w:sz w:val="20"/>
          <w:szCs w:val="20"/>
        </w:rPr>
        <w:t>e stimulan</w:t>
      </w:r>
      <w:r w:rsidR="005D6F50" w:rsidRPr="00F07CDA">
        <w:rPr>
          <w:rFonts w:ascii="Arial" w:hAnsi="Arial" w:cs="Arial"/>
          <w:sz w:val="20"/>
          <w:szCs w:val="20"/>
        </w:rPr>
        <w:t>ciím</w:t>
      </w:r>
      <w:r w:rsidR="003F2F7B" w:rsidRPr="00F07CDA">
        <w:rPr>
          <w:rFonts w:ascii="Arial" w:hAnsi="Arial" w:cs="Arial"/>
          <w:sz w:val="20"/>
          <w:szCs w:val="20"/>
        </w:rPr>
        <w:t xml:space="preserve"> </w:t>
      </w:r>
      <w:r w:rsidRPr="00F07CDA">
        <w:rPr>
          <w:rFonts w:ascii="Arial" w:hAnsi="Arial" w:cs="Arial"/>
          <w:sz w:val="20"/>
          <w:szCs w:val="20"/>
        </w:rPr>
        <w:t>monitorovaným tímt</w:t>
      </w:r>
      <w:r w:rsidR="00056C51" w:rsidRPr="00F07CDA">
        <w:rPr>
          <w:rFonts w:ascii="Arial" w:hAnsi="Arial" w:cs="Arial"/>
          <w:sz w:val="20"/>
          <w:szCs w:val="20"/>
        </w:rPr>
        <w:t xml:space="preserve">o </w:t>
      </w:r>
      <w:r w:rsidRPr="00F07CDA">
        <w:rPr>
          <w:rFonts w:ascii="Arial" w:hAnsi="Arial" w:cs="Arial"/>
          <w:sz w:val="20"/>
          <w:szCs w:val="20"/>
        </w:rPr>
        <w:t>systémem patří: mefedron (předložený ke kontrolním opatřením v EU</w:t>
      </w:r>
      <w:r w:rsidRPr="008C2B82">
        <w:rPr>
          <w:rFonts w:ascii="Arial" w:hAnsi="Arial" w:cs="Arial"/>
          <w:sz w:val="20"/>
          <w:szCs w:val="20"/>
        </w:rPr>
        <w:t xml:space="preserve"> v roce 2010), MDPV (riziko vyhodnoceno v dubnu 2014)</w:t>
      </w:r>
      <w:r w:rsidR="00EB475A" w:rsidRPr="008C2B82">
        <w:rPr>
          <w:rFonts w:ascii="Arial" w:hAnsi="Arial" w:cs="Arial"/>
          <w:sz w:val="20"/>
          <w:szCs w:val="20"/>
        </w:rPr>
        <w:t xml:space="preserve"> a </w:t>
      </w:r>
      <w:r w:rsidRPr="008C2B82">
        <w:rPr>
          <w:rFonts w:ascii="Arial" w:hAnsi="Arial" w:cs="Arial"/>
          <w:sz w:val="20"/>
          <w:szCs w:val="20"/>
        </w:rPr>
        <w:t xml:space="preserve">pentedron. Syntetické katinony lze šňupat ve formě prášku nebo polykat jako tablety; agentura </w:t>
      </w:r>
      <w:r w:rsidRPr="008C2B82">
        <w:rPr>
          <w:rFonts w:ascii="Arial" w:hAnsi="Arial" w:cs="Arial"/>
          <w:b/>
          <w:sz w:val="20"/>
          <w:szCs w:val="20"/>
        </w:rPr>
        <w:t>EMCDDA</w:t>
      </w:r>
      <w:r w:rsidRPr="008C2B82">
        <w:rPr>
          <w:rFonts w:ascii="Arial" w:hAnsi="Arial" w:cs="Arial"/>
          <w:sz w:val="20"/>
          <w:szCs w:val="20"/>
        </w:rPr>
        <w:t xml:space="preserve"> </w:t>
      </w:r>
      <w:r w:rsidR="00484049" w:rsidRPr="008C2B82">
        <w:rPr>
          <w:rFonts w:ascii="Arial" w:hAnsi="Arial" w:cs="Arial"/>
          <w:sz w:val="20"/>
          <w:szCs w:val="20"/>
        </w:rPr>
        <w:t xml:space="preserve">však </w:t>
      </w:r>
      <w:r w:rsidR="003F2F7B" w:rsidRPr="008C2B82">
        <w:rPr>
          <w:rFonts w:ascii="Arial" w:hAnsi="Arial" w:cs="Arial"/>
          <w:sz w:val="20"/>
          <w:szCs w:val="20"/>
        </w:rPr>
        <w:t xml:space="preserve">v současnosti </w:t>
      </w:r>
      <w:r w:rsidR="00484049" w:rsidRPr="008C2B82">
        <w:rPr>
          <w:rFonts w:ascii="Arial" w:hAnsi="Arial" w:cs="Arial"/>
          <w:sz w:val="20"/>
          <w:szCs w:val="20"/>
        </w:rPr>
        <w:t>zaměřuje svoji pozornost na</w:t>
      </w:r>
      <w:r w:rsidRPr="008C2B82">
        <w:rPr>
          <w:rFonts w:ascii="Arial" w:hAnsi="Arial" w:cs="Arial"/>
          <w:sz w:val="20"/>
          <w:szCs w:val="20"/>
        </w:rPr>
        <w:t xml:space="preserve"> znepokojivý výskyt injekčního užívání těchto látek. </w:t>
      </w:r>
    </w:p>
    <w:p w:rsidR="00D32AF5" w:rsidRPr="008C2B82" w:rsidRDefault="005D327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>Přestože</w:t>
      </w:r>
      <w:r w:rsidR="00880AA6" w:rsidRPr="008C2B82">
        <w:rPr>
          <w:rFonts w:ascii="Arial" w:hAnsi="Arial" w:cs="Arial"/>
          <w:sz w:val="20"/>
          <w:szCs w:val="20"/>
        </w:rPr>
        <w:t xml:space="preserve"> injekční užívání katinonů není v Evropě rozšířené, bylo zaznamenáno jako lokální problém u skupin vysoce rizikových uživatelů drog v některých zemích (např. v </w:t>
      </w:r>
      <w:r w:rsidR="00880AA6" w:rsidRPr="008C2B82">
        <w:rPr>
          <w:rFonts w:ascii="Arial" w:hAnsi="Arial" w:cs="Arial"/>
          <w:b/>
          <w:sz w:val="20"/>
          <w:szCs w:val="20"/>
        </w:rPr>
        <w:t>České republice, Německu, Irsku, Španělsku, Rakousku, Polsku, Finsku, Švédsku</w:t>
      </w:r>
      <w:r w:rsidR="00880AA6" w:rsidRPr="008C2B82">
        <w:rPr>
          <w:rFonts w:ascii="Arial" w:hAnsi="Arial" w:cs="Arial"/>
          <w:sz w:val="20"/>
          <w:szCs w:val="20"/>
        </w:rPr>
        <w:t xml:space="preserve"> a </w:t>
      </w:r>
      <w:r w:rsidR="00880AA6" w:rsidRPr="008C2B82">
        <w:rPr>
          <w:rFonts w:ascii="Arial" w:hAnsi="Arial" w:cs="Arial"/>
          <w:b/>
          <w:sz w:val="20"/>
          <w:szCs w:val="20"/>
        </w:rPr>
        <w:t>Spojeném království</w:t>
      </w:r>
      <w:r w:rsidR="00880AA6" w:rsidRPr="008C2B82">
        <w:rPr>
          <w:rFonts w:ascii="Arial" w:hAnsi="Arial" w:cs="Arial"/>
          <w:sz w:val="20"/>
          <w:szCs w:val="20"/>
        </w:rPr>
        <w:t>). V </w:t>
      </w:r>
      <w:r w:rsidR="00880AA6" w:rsidRPr="008C2B82">
        <w:rPr>
          <w:rFonts w:ascii="Arial" w:hAnsi="Arial" w:cs="Arial"/>
          <w:b/>
          <w:sz w:val="20"/>
          <w:szCs w:val="20"/>
        </w:rPr>
        <w:t>Maďarsku</w:t>
      </w:r>
      <w:r w:rsidR="00880AA6" w:rsidRPr="008C2B82">
        <w:rPr>
          <w:rFonts w:ascii="Arial" w:hAnsi="Arial" w:cs="Arial"/>
          <w:sz w:val="20"/>
          <w:szCs w:val="20"/>
        </w:rPr>
        <w:t xml:space="preserve"> a </w:t>
      </w:r>
      <w:r w:rsidR="00880AA6" w:rsidRPr="008C2B82">
        <w:rPr>
          <w:rFonts w:ascii="Arial" w:hAnsi="Arial" w:cs="Arial"/>
          <w:b/>
          <w:sz w:val="20"/>
          <w:szCs w:val="20"/>
        </w:rPr>
        <w:t>Rumunsku</w:t>
      </w:r>
      <w:r w:rsidR="00880AA6" w:rsidRPr="008C2B82">
        <w:rPr>
          <w:rFonts w:ascii="Arial" w:hAnsi="Arial" w:cs="Arial"/>
          <w:sz w:val="20"/>
          <w:szCs w:val="20"/>
        </w:rPr>
        <w:t xml:space="preserve"> byl nicméně </w:t>
      </w:r>
      <w:r w:rsidR="00A3020E" w:rsidRPr="008C2B82">
        <w:rPr>
          <w:rFonts w:ascii="Arial" w:hAnsi="Arial" w:cs="Arial"/>
          <w:sz w:val="20"/>
          <w:szCs w:val="20"/>
        </w:rPr>
        <w:t>pozorován</w:t>
      </w:r>
      <w:r w:rsidR="00880AA6" w:rsidRPr="008C2B82">
        <w:rPr>
          <w:rFonts w:ascii="Arial" w:hAnsi="Arial" w:cs="Arial"/>
          <w:sz w:val="20"/>
          <w:szCs w:val="20"/>
        </w:rPr>
        <w:t xml:space="preserve"> </w:t>
      </w:r>
      <w:r w:rsidR="003F2F7B" w:rsidRPr="008C2B82">
        <w:rPr>
          <w:rFonts w:ascii="Arial" w:hAnsi="Arial" w:cs="Arial"/>
          <w:sz w:val="20"/>
          <w:szCs w:val="20"/>
        </w:rPr>
        <w:t>všeobecnější výskyt</w:t>
      </w:r>
      <w:r w:rsidR="00880AA6" w:rsidRPr="008C2B82">
        <w:rPr>
          <w:rFonts w:ascii="Arial" w:hAnsi="Arial" w:cs="Arial"/>
          <w:sz w:val="20"/>
          <w:szCs w:val="20"/>
        </w:rPr>
        <w:t xml:space="preserve"> injekčního užívání těchto látek. </w:t>
      </w:r>
      <w:r w:rsidR="003F2F7B" w:rsidRPr="008C2B82">
        <w:rPr>
          <w:rFonts w:ascii="Arial" w:hAnsi="Arial" w:cs="Arial"/>
          <w:sz w:val="20"/>
          <w:szCs w:val="20"/>
        </w:rPr>
        <w:t>Z c</w:t>
      </w:r>
      <w:r w:rsidR="00880AA6" w:rsidRPr="008C2B82">
        <w:rPr>
          <w:rFonts w:ascii="Arial" w:hAnsi="Arial" w:cs="Arial"/>
          <w:sz w:val="20"/>
          <w:szCs w:val="20"/>
        </w:rPr>
        <w:t>elostátní</w:t>
      </w:r>
      <w:r w:rsidR="003F2F7B" w:rsidRPr="008C2B82">
        <w:rPr>
          <w:rFonts w:ascii="Arial" w:hAnsi="Arial" w:cs="Arial"/>
          <w:sz w:val="20"/>
          <w:szCs w:val="20"/>
        </w:rPr>
        <w:t>ho</w:t>
      </w:r>
      <w:r w:rsidR="00880AA6" w:rsidRPr="008C2B82">
        <w:rPr>
          <w:rFonts w:ascii="Arial" w:hAnsi="Arial" w:cs="Arial"/>
          <w:sz w:val="20"/>
          <w:szCs w:val="20"/>
        </w:rPr>
        <w:t xml:space="preserve"> průzkum</w:t>
      </w:r>
      <w:r w:rsidR="003F2F7B" w:rsidRPr="008C2B82">
        <w:rPr>
          <w:rFonts w:ascii="Arial" w:hAnsi="Arial" w:cs="Arial"/>
          <w:sz w:val="20"/>
          <w:szCs w:val="20"/>
        </w:rPr>
        <w:t>u</w:t>
      </w:r>
      <w:r w:rsidR="00880AA6" w:rsidRPr="008C2B82">
        <w:rPr>
          <w:rFonts w:ascii="Arial" w:hAnsi="Arial" w:cs="Arial"/>
          <w:sz w:val="20"/>
          <w:szCs w:val="20"/>
        </w:rPr>
        <w:t xml:space="preserve"> týkající</w:t>
      </w:r>
      <w:r w:rsidR="003F2F7B" w:rsidRPr="008C2B82">
        <w:rPr>
          <w:rFonts w:ascii="Arial" w:hAnsi="Arial" w:cs="Arial"/>
          <w:sz w:val="20"/>
          <w:szCs w:val="20"/>
        </w:rPr>
        <w:t>ho</w:t>
      </w:r>
      <w:r w:rsidR="00880AA6" w:rsidRPr="008C2B82">
        <w:rPr>
          <w:rFonts w:ascii="Arial" w:hAnsi="Arial" w:cs="Arial"/>
          <w:sz w:val="20"/>
          <w:szCs w:val="20"/>
        </w:rPr>
        <w:t xml:space="preserve"> se programů výměny jehel a injekčních stříkaček v </w:t>
      </w:r>
      <w:r w:rsidR="00880AA6" w:rsidRPr="008C2B82">
        <w:rPr>
          <w:rFonts w:ascii="Arial" w:hAnsi="Arial" w:cs="Arial"/>
          <w:b/>
          <w:sz w:val="20"/>
          <w:szCs w:val="20"/>
        </w:rPr>
        <w:t>Maďarsku</w:t>
      </w:r>
      <w:r w:rsidR="00880AA6" w:rsidRPr="008C2B82">
        <w:rPr>
          <w:rFonts w:ascii="Arial" w:hAnsi="Arial" w:cs="Arial"/>
          <w:sz w:val="20"/>
          <w:szCs w:val="20"/>
        </w:rPr>
        <w:t xml:space="preserve"> například </w:t>
      </w:r>
      <w:r w:rsidR="003F2F7B" w:rsidRPr="008C2B82">
        <w:rPr>
          <w:rFonts w:ascii="Arial" w:hAnsi="Arial" w:cs="Arial"/>
          <w:sz w:val="20"/>
          <w:szCs w:val="20"/>
        </w:rPr>
        <w:t>vyplynulo</w:t>
      </w:r>
      <w:r w:rsidR="00880AA6" w:rsidRPr="008C2B82">
        <w:rPr>
          <w:rFonts w:ascii="Arial" w:hAnsi="Arial" w:cs="Arial"/>
          <w:sz w:val="20"/>
          <w:szCs w:val="20"/>
        </w:rPr>
        <w:t xml:space="preserve">, že v roce 2012 si 36 % klientů aplikovalo </w:t>
      </w:r>
      <w:r w:rsidR="003F2F7B" w:rsidRPr="008C2B82">
        <w:rPr>
          <w:rFonts w:ascii="Arial" w:hAnsi="Arial" w:cs="Arial"/>
          <w:sz w:val="20"/>
          <w:szCs w:val="20"/>
        </w:rPr>
        <w:t xml:space="preserve">injekčně </w:t>
      </w:r>
      <w:r w:rsidR="00880AA6" w:rsidRPr="008C2B82">
        <w:rPr>
          <w:rFonts w:ascii="Arial" w:hAnsi="Arial" w:cs="Arial"/>
          <w:sz w:val="20"/>
          <w:szCs w:val="20"/>
        </w:rPr>
        <w:t xml:space="preserve">katinony jako primární drogu. </w:t>
      </w:r>
    </w:p>
    <w:p w:rsidR="00D32AF5" w:rsidRPr="008C2B82" w:rsidRDefault="00880AA6">
      <w:pPr>
        <w:spacing w:after="260" w:line="260" w:lineRule="exact"/>
        <w:rPr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 xml:space="preserve">Rostoucí obavy vyvolává chování zaznamenané u skupin mužů, kteří mají pohlavní styk s muži a kteří si </w:t>
      </w:r>
      <w:r w:rsidR="00A3020E" w:rsidRPr="008C2B82">
        <w:rPr>
          <w:rFonts w:ascii="Arial" w:hAnsi="Arial" w:cs="Arial"/>
          <w:sz w:val="20"/>
          <w:szCs w:val="20"/>
        </w:rPr>
        <w:t xml:space="preserve">injekčně </w:t>
      </w:r>
      <w:r w:rsidRPr="008C2B82">
        <w:rPr>
          <w:rFonts w:ascii="Arial" w:hAnsi="Arial" w:cs="Arial"/>
          <w:sz w:val="20"/>
          <w:szCs w:val="20"/>
        </w:rPr>
        <w:t xml:space="preserve">aplikují různé </w:t>
      </w:r>
      <w:r w:rsidR="003F2F7B" w:rsidRPr="008C2B82">
        <w:rPr>
          <w:rFonts w:ascii="Arial" w:hAnsi="Arial" w:cs="Arial"/>
          <w:sz w:val="20"/>
          <w:szCs w:val="20"/>
        </w:rPr>
        <w:t>nelegální</w:t>
      </w:r>
      <w:r w:rsidRPr="008C2B82">
        <w:rPr>
          <w:rFonts w:ascii="Arial" w:hAnsi="Arial" w:cs="Arial"/>
          <w:sz w:val="20"/>
          <w:szCs w:val="20"/>
        </w:rPr>
        <w:t xml:space="preserve"> drogy (např. katinony a metamfetamin) </w:t>
      </w:r>
      <w:r w:rsidR="00A3020E" w:rsidRPr="008C2B82">
        <w:rPr>
          <w:rFonts w:ascii="Arial" w:hAnsi="Arial" w:cs="Arial"/>
          <w:sz w:val="20"/>
          <w:szCs w:val="20"/>
        </w:rPr>
        <w:t xml:space="preserve">na </w:t>
      </w:r>
      <w:r w:rsidRPr="008C2B82">
        <w:rPr>
          <w:rFonts w:ascii="Arial" w:hAnsi="Arial" w:cs="Arial"/>
          <w:sz w:val="20"/>
          <w:szCs w:val="20"/>
        </w:rPr>
        <w:t xml:space="preserve">tzv. </w:t>
      </w:r>
      <w:r w:rsidRPr="008C2B82">
        <w:rPr>
          <w:rFonts w:ascii="Arial" w:hAnsi="Arial" w:cs="Arial"/>
          <w:i/>
          <w:sz w:val="20"/>
          <w:szCs w:val="20"/>
        </w:rPr>
        <w:t>chem sex parties</w:t>
      </w:r>
      <w:r w:rsidRPr="008C2B82">
        <w:rPr>
          <w:rFonts w:ascii="Arial" w:hAnsi="Arial" w:cs="Arial"/>
          <w:sz w:val="20"/>
          <w:szCs w:val="20"/>
        </w:rPr>
        <w:t xml:space="preserve"> </w:t>
      </w:r>
      <w:r w:rsidRPr="00F07CDA">
        <w:rPr>
          <w:rFonts w:ascii="Arial" w:hAnsi="Arial" w:cs="Arial"/>
          <w:sz w:val="20"/>
          <w:szCs w:val="20"/>
        </w:rPr>
        <w:t xml:space="preserve">(večírcích, </w:t>
      </w:r>
      <w:r w:rsidR="003F2F7B" w:rsidRPr="00F07CDA">
        <w:rPr>
          <w:rFonts w:ascii="Arial" w:hAnsi="Arial" w:cs="Arial"/>
          <w:sz w:val="20"/>
          <w:szCs w:val="20"/>
        </w:rPr>
        <w:t xml:space="preserve">na kterých </w:t>
      </w:r>
      <w:r w:rsidRPr="00F07CDA">
        <w:rPr>
          <w:rFonts w:ascii="Arial" w:hAnsi="Arial" w:cs="Arial"/>
          <w:sz w:val="20"/>
          <w:szCs w:val="20"/>
        </w:rPr>
        <w:t xml:space="preserve">se užívají drogy </w:t>
      </w:r>
      <w:r w:rsidR="003F2F7B" w:rsidRPr="00F07CDA">
        <w:rPr>
          <w:rFonts w:ascii="Arial" w:hAnsi="Arial" w:cs="Arial"/>
          <w:sz w:val="20"/>
          <w:szCs w:val="20"/>
        </w:rPr>
        <w:t>a praktikuje se sex</w:t>
      </w:r>
      <w:r w:rsidRPr="00F07CDA">
        <w:rPr>
          <w:rFonts w:ascii="Arial" w:hAnsi="Arial" w:cs="Arial"/>
          <w:sz w:val="20"/>
          <w:szCs w:val="20"/>
        </w:rPr>
        <w:t>). T</w:t>
      </w:r>
      <w:r w:rsidRPr="008C2B82">
        <w:rPr>
          <w:rFonts w:ascii="Arial" w:hAnsi="Arial" w:cs="Arial"/>
          <w:sz w:val="20"/>
          <w:szCs w:val="20"/>
        </w:rPr>
        <w:t>ato nová praxe, spojená s rizikovými sexuálními praktikami, byla hlášena v některých velkých městech. Vzhledem k potenciálnímu dopadu zjištěných vznikajících vzorců injekčního užívání katinonů se důkladné monitorování tohoto problému stává prioritou v oblasti veřejného zdraví.</w:t>
      </w:r>
    </w:p>
    <w:p w:rsidR="00D32AF5" w:rsidRPr="008C2B82" w:rsidRDefault="00880AA6">
      <w:pPr>
        <w:rPr>
          <w:rFonts w:ascii="Arial" w:hAnsi="Arial" w:cs="Arial"/>
          <w:b/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 xml:space="preserve">Metamfetamin: rostoucí obavy </w:t>
      </w:r>
      <w:r w:rsidR="003F2F7B" w:rsidRPr="008C2B82">
        <w:rPr>
          <w:rFonts w:ascii="Arial" w:hAnsi="Arial" w:cs="Arial"/>
          <w:b/>
          <w:sz w:val="20"/>
          <w:szCs w:val="20"/>
        </w:rPr>
        <w:t>v souvislosti s objevujícími se</w:t>
      </w:r>
      <w:r w:rsidRPr="008C2B82">
        <w:rPr>
          <w:rFonts w:ascii="Arial" w:hAnsi="Arial" w:cs="Arial"/>
          <w:b/>
          <w:sz w:val="20"/>
          <w:szCs w:val="20"/>
        </w:rPr>
        <w:t xml:space="preserve"> </w:t>
      </w:r>
      <w:r w:rsidR="003F2F7B" w:rsidRPr="008C2B82">
        <w:rPr>
          <w:rFonts w:ascii="Arial" w:hAnsi="Arial" w:cs="Arial"/>
          <w:b/>
          <w:sz w:val="20"/>
          <w:szCs w:val="20"/>
        </w:rPr>
        <w:t xml:space="preserve">novými </w:t>
      </w:r>
      <w:r w:rsidRPr="008C2B82">
        <w:rPr>
          <w:rFonts w:ascii="Arial" w:hAnsi="Arial" w:cs="Arial"/>
          <w:b/>
          <w:sz w:val="20"/>
          <w:szCs w:val="20"/>
        </w:rPr>
        <w:t>a </w:t>
      </w:r>
      <w:r w:rsidR="003F2F7B" w:rsidRPr="008C2B82">
        <w:rPr>
          <w:rFonts w:ascii="Arial" w:hAnsi="Arial" w:cs="Arial"/>
          <w:b/>
          <w:sz w:val="20"/>
          <w:szCs w:val="20"/>
        </w:rPr>
        <w:t xml:space="preserve">rozmanitými vzorci </w:t>
      </w:r>
      <w:r w:rsidRPr="008C2B82">
        <w:rPr>
          <w:rFonts w:ascii="Arial" w:hAnsi="Arial" w:cs="Arial"/>
          <w:b/>
          <w:sz w:val="20"/>
          <w:szCs w:val="20"/>
        </w:rPr>
        <w:t>užívání</w:t>
      </w:r>
    </w:p>
    <w:p w:rsidR="00D32AF5" w:rsidRPr="008C2B82" w:rsidRDefault="00880AA6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 xml:space="preserve">Metamfetamin je </w:t>
      </w:r>
      <w:r w:rsidR="00116AD1" w:rsidRPr="008C2B82">
        <w:rPr>
          <w:rFonts w:ascii="Arial" w:hAnsi="Arial" w:cs="Arial"/>
          <w:sz w:val="20"/>
          <w:szCs w:val="20"/>
        </w:rPr>
        <w:t>zaveden</w:t>
      </w:r>
      <w:r w:rsidR="000607B9">
        <w:rPr>
          <w:rFonts w:ascii="Arial" w:hAnsi="Arial" w:cs="Arial"/>
          <w:sz w:val="20"/>
          <w:szCs w:val="20"/>
        </w:rPr>
        <w:t>á stimulační droga</w:t>
      </w:r>
      <w:r w:rsidRPr="008C2B82">
        <w:rPr>
          <w:rFonts w:ascii="Arial" w:hAnsi="Arial" w:cs="Arial"/>
          <w:sz w:val="20"/>
          <w:szCs w:val="20"/>
        </w:rPr>
        <w:t xml:space="preserve"> v mnoha částech světa (např. v jihovýchodní Asii</w:t>
      </w:r>
      <w:r w:rsidR="003F2F7B" w:rsidRPr="008C2B82">
        <w:rPr>
          <w:rFonts w:ascii="Arial" w:hAnsi="Arial" w:cs="Arial"/>
          <w:sz w:val="20"/>
          <w:szCs w:val="20"/>
        </w:rPr>
        <w:t xml:space="preserve"> či</w:t>
      </w:r>
      <w:r w:rsidRPr="008C2B82">
        <w:rPr>
          <w:rFonts w:ascii="Arial" w:hAnsi="Arial" w:cs="Arial"/>
          <w:sz w:val="20"/>
          <w:szCs w:val="20"/>
        </w:rPr>
        <w:t xml:space="preserve"> </w:t>
      </w:r>
      <w:r w:rsidR="00056C51" w:rsidRPr="008C2B82">
        <w:rPr>
          <w:rFonts w:ascii="Arial" w:hAnsi="Arial" w:cs="Arial"/>
          <w:sz w:val="20"/>
          <w:szCs w:val="20"/>
        </w:rPr>
        <w:t>v </w:t>
      </w:r>
      <w:proofErr w:type="gramStart"/>
      <w:r w:rsidRPr="008C2B82">
        <w:rPr>
          <w:rFonts w:ascii="Arial" w:hAnsi="Arial" w:cs="Arial"/>
          <w:sz w:val="20"/>
          <w:szCs w:val="20"/>
        </w:rPr>
        <w:t xml:space="preserve">USA), </w:t>
      </w:r>
      <w:r w:rsidR="00506DF4">
        <w:rPr>
          <w:rFonts w:ascii="Arial" w:hAnsi="Arial" w:cs="Arial"/>
          <w:sz w:val="20"/>
          <w:szCs w:val="20"/>
        </w:rPr>
        <w:t xml:space="preserve"> </w:t>
      </w:r>
      <w:r w:rsidRPr="008C2B82">
        <w:rPr>
          <w:rFonts w:ascii="Arial" w:hAnsi="Arial" w:cs="Arial"/>
          <w:sz w:val="20"/>
          <w:szCs w:val="20"/>
        </w:rPr>
        <w:t>kde</w:t>
      </w:r>
      <w:proofErr w:type="gramEnd"/>
      <w:r w:rsidRPr="008C2B82">
        <w:rPr>
          <w:rFonts w:ascii="Arial" w:hAnsi="Arial" w:cs="Arial"/>
          <w:sz w:val="20"/>
          <w:szCs w:val="20"/>
        </w:rPr>
        <w:t xml:space="preserve"> již dlouho dobu způsobuje závažné problémy v oblasti veřejného zdraví. Zatímco </w:t>
      </w:r>
      <w:r w:rsidR="005D6F50" w:rsidRPr="008C2B82">
        <w:rPr>
          <w:rFonts w:ascii="Arial" w:hAnsi="Arial" w:cs="Arial"/>
          <w:sz w:val="20"/>
          <w:szCs w:val="20"/>
        </w:rPr>
        <w:t xml:space="preserve">v minulosti </w:t>
      </w:r>
      <w:r w:rsidRPr="008C2B82">
        <w:rPr>
          <w:rFonts w:ascii="Arial" w:hAnsi="Arial" w:cs="Arial"/>
          <w:sz w:val="20"/>
          <w:szCs w:val="20"/>
        </w:rPr>
        <w:t xml:space="preserve">se užívání metamfetaminu v Evropě omezovalo na </w:t>
      </w:r>
      <w:r w:rsidRPr="008C2B82">
        <w:rPr>
          <w:rFonts w:ascii="Arial" w:hAnsi="Arial" w:cs="Arial"/>
          <w:b/>
          <w:sz w:val="20"/>
          <w:szCs w:val="20"/>
        </w:rPr>
        <w:t>Českou republiku</w:t>
      </w:r>
      <w:r w:rsidRPr="008C2B82">
        <w:rPr>
          <w:rFonts w:ascii="Arial" w:hAnsi="Arial" w:cs="Arial"/>
          <w:sz w:val="20"/>
          <w:szCs w:val="20"/>
        </w:rPr>
        <w:t xml:space="preserve"> a </w:t>
      </w:r>
      <w:r w:rsidRPr="008C2B82">
        <w:rPr>
          <w:rFonts w:ascii="Arial" w:hAnsi="Arial" w:cs="Arial"/>
          <w:b/>
          <w:sz w:val="20"/>
          <w:szCs w:val="20"/>
        </w:rPr>
        <w:t>Slovensko</w:t>
      </w:r>
      <w:r w:rsidRPr="008C2B82">
        <w:rPr>
          <w:rFonts w:ascii="Arial" w:hAnsi="Arial" w:cs="Arial"/>
          <w:sz w:val="20"/>
          <w:szCs w:val="20"/>
        </w:rPr>
        <w:t xml:space="preserve">, nyní se začínají objevovat </w:t>
      </w:r>
      <w:r w:rsidR="003F2F7B" w:rsidRPr="008C2B82">
        <w:rPr>
          <w:rFonts w:ascii="Arial" w:hAnsi="Arial" w:cs="Arial"/>
          <w:sz w:val="20"/>
          <w:szCs w:val="20"/>
        </w:rPr>
        <w:t>nová ohniska</w:t>
      </w:r>
      <w:r w:rsidRPr="008C2B82">
        <w:rPr>
          <w:rFonts w:ascii="Arial" w:hAnsi="Arial" w:cs="Arial"/>
          <w:sz w:val="20"/>
          <w:szCs w:val="20"/>
        </w:rPr>
        <w:t xml:space="preserve"> a vzorce užívání v jiných oblastech a mezi různými populacemi. Příkladem je </w:t>
      </w:r>
      <w:r w:rsidRPr="008C2B82">
        <w:rPr>
          <w:rFonts w:ascii="Arial" w:hAnsi="Arial" w:cs="Arial"/>
          <w:i/>
          <w:sz w:val="20"/>
          <w:szCs w:val="20"/>
        </w:rPr>
        <w:t>šňupání</w:t>
      </w:r>
      <w:r w:rsidRPr="008C2B82">
        <w:rPr>
          <w:rFonts w:ascii="Arial" w:hAnsi="Arial" w:cs="Arial"/>
          <w:sz w:val="20"/>
          <w:szCs w:val="20"/>
        </w:rPr>
        <w:t xml:space="preserve"> metamfetaminu v podobě prášku rekreačními uživateli v </w:t>
      </w:r>
      <w:r w:rsidRPr="008C2B82">
        <w:rPr>
          <w:rFonts w:ascii="Arial" w:hAnsi="Arial" w:cs="Arial"/>
          <w:b/>
          <w:sz w:val="20"/>
          <w:szCs w:val="20"/>
        </w:rPr>
        <w:t>Německu</w:t>
      </w:r>
      <w:r w:rsidRPr="008C2B82">
        <w:rPr>
          <w:rFonts w:ascii="Arial" w:hAnsi="Arial" w:cs="Arial"/>
          <w:sz w:val="20"/>
          <w:szCs w:val="20"/>
        </w:rPr>
        <w:t xml:space="preserve">, jeho </w:t>
      </w:r>
      <w:r w:rsidRPr="008C2B82">
        <w:rPr>
          <w:rFonts w:ascii="Arial" w:hAnsi="Arial" w:cs="Arial"/>
          <w:i/>
          <w:sz w:val="20"/>
          <w:szCs w:val="20"/>
        </w:rPr>
        <w:t>kouření</w:t>
      </w:r>
      <w:r w:rsidRPr="008C2B82">
        <w:rPr>
          <w:rFonts w:ascii="Arial" w:hAnsi="Arial" w:cs="Arial"/>
          <w:sz w:val="20"/>
          <w:szCs w:val="20"/>
        </w:rPr>
        <w:t xml:space="preserve"> v krystalické formě injekčními uživateli opioidů v </w:t>
      </w:r>
      <w:r w:rsidRPr="008C2B82">
        <w:rPr>
          <w:rFonts w:ascii="Arial" w:hAnsi="Arial" w:cs="Arial"/>
          <w:b/>
          <w:sz w:val="20"/>
          <w:szCs w:val="20"/>
        </w:rPr>
        <w:t>Řecku</w:t>
      </w:r>
      <w:r w:rsidRPr="008C2B82">
        <w:rPr>
          <w:rFonts w:ascii="Arial" w:hAnsi="Arial" w:cs="Arial"/>
          <w:sz w:val="20"/>
          <w:szCs w:val="20"/>
        </w:rPr>
        <w:t xml:space="preserve">, </w:t>
      </w:r>
      <w:r w:rsidRPr="008C2B82">
        <w:rPr>
          <w:rFonts w:ascii="Arial" w:hAnsi="Arial" w:cs="Arial"/>
          <w:b/>
          <w:sz w:val="20"/>
          <w:szCs w:val="20"/>
        </w:rPr>
        <w:t>Turecku</w:t>
      </w:r>
      <w:r w:rsidRPr="008C2B82">
        <w:rPr>
          <w:rFonts w:ascii="Arial" w:hAnsi="Arial" w:cs="Arial"/>
          <w:sz w:val="20"/>
          <w:szCs w:val="20"/>
        </w:rPr>
        <w:t xml:space="preserve"> a na </w:t>
      </w:r>
      <w:r w:rsidRPr="008C2B82">
        <w:rPr>
          <w:rFonts w:ascii="Arial" w:hAnsi="Arial" w:cs="Arial"/>
          <w:b/>
          <w:sz w:val="20"/>
          <w:szCs w:val="20"/>
        </w:rPr>
        <w:t>Kypru</w:t>
      </w:r>
      <w:r w:rsidRPr="008C2B82">
        <w:rPr>
          <w:rFonts w:ascii="Arial" w:hAnsi="Arial" w:cs="Arial"/>
          <w:sz w:val="20"/>
          <w:szCs w:val="20"/>
        </w:rPr>
        <w:t xml:space="preserve"> a jeho </w:t>
      </w:r>
      <w:r w:rsidRPr="008C2B82">
        <w:rPr>
          <w:rFonts w:ascii="Arial" w:hAnsi="Arial" w:cs="Arial"/>
          <w:i/>
          <w:sz w:val="20"/>
          <w:szCs w:val="20"/>
        </w:rPr>
        <w:t>injekční aplikace</w:t>
      </w:r>
      <w:r w:rsidRPr="008C2B82">
        <w:rPr>
          <w:rFonts w:ascii="Arial" w:hAnsi="Arial" w:cs="Arial"/>
          <w:sz w:val="20"/>
          <w:szCs w:val="20"/>
        </w:rPr>
        <w:t xml:space="preserve"> spolu s dalšími látkami mezi muži, kteří mají pohlavní styk s muži (viz výše). </w:t>
      </w:r>
    </w:p>
    <w:p w:rsidR="00D32AF5" w:rsidRPr="008C2B82" w:rsidRDefault="00880AA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lastRenderedPageBreak/>
        <w:t xml:space="preserve">V této nové analýze se agentura </w:t>
      </w:r>
      <w:r w:rsidRPr="008C2B82">
        <w:rPr>
          <w:rFonts w:ascii="Arial" w:hAnsi="Arial" w:cs="Arial"/>
          <w:b/>
          <w:sz w:val="20"/>
          <w:szCs w:val="20"/>
        </w:rPr>
        <w:t>EMCDDA</w:t>
      </w:r>
      <w:r w:rsidRPr="008C2B82">
        <w:rPr>
          <w:rFonts w:ascii="Arial" w:hAnsi="Arial" w:cs="Arial"/>
          <w:sz w:val="20"/>
          <w:szCs w:val="20"/>
        </w:rPr>
        <w:t xml:space="preserve"> zabývá tím, jaké výzvy </w:t>
      </w:r>
      <w:r w:rsidR="003F2F7B" w:rsidRPr="008C2B82">
        <w:rPr>
          <w:rFonts w:ascii="Arial" w:hAnsi="Arial" w:cs="Arial"/>
          <w:sz w:val="20"/>
          <w:szCs w:val="20"/>
        </w:rPr>
        <w:t xml:space="preserve">z hlediska </w:t>
      </w:r>
      <w:r w:rsidRPr="008C2B82">
        <w:rPr>
          <w:rFonts w:ascii="Arial" w:hAnsi="Arial" w:cs="Arial"/>
          <w:sz w:val="20"/>
          <w:szCs w:val="20"/>
        </w:rPr>
        <w:t>poskytování zdravotních</w:t>
      </w:r>
      <w:r w:rsidR="00EB475A" w:rsidRPr="008C2B82">
        <w:rPr>
          <w:rFonts w:ascii="Arial" w:hAnsi="Arial" w:cs="Arial"/>
          <w:sz w:val="20"/>
          <w:szCs w:val="20"/>
        </w:rPr>
        <w:t xml:space="preserve"> a </w:t>
      </w:r>
      <w:r w:rsidRPr="008C2B82">
        <w:rPr>
          <w:rFonts w:ascii="Arial" w:hAnsi="Arial" w:cs="Arial"/>
          <w:sz w:val="20"/>
          <w:szCs w:val="20"/>
        </w:rPr>
        <w:t xml:space="preserve">sociálních služeb tato droga </w:t>
      </w:r>
      <w:r w:rsidR="003F2F7B" w:rsidRPr="008C2B82">
        <w:rPr>
          <w:rFonts w:ascii="Arial" w:hAnsi="Arial" w:cs="Arial"/>
          <w:sz w:val="20"/>
          <w:szCs w:val="20"/>
        </w:rPr>
        <w:t xml:space="preserve">v současnosti </w:t>
      </w:r>
      <w:r w:rsidRPr="008C2B82">
        <w:rPr>
          <w:rFonts w:ascii="Arial" w:hAnsi="Arial" w:cs="Arial"/>
          <w:sz w:val="20"/>
          <w:szCs w:val="20"/>
        </w:rPr>
        <w:t>přináší. I když neexistují žádné schválené léky k léčbě závislosti na metamfetaminu, psychosociální intervence se ukázaly jako účinné. Agentura uvádí: „</w:t>
      </w:r>
      <w:r w:rsidR="00965C26" w:rsidRPr="008C2B82">
        <w:rPr>
          <w:rFonts w:ascii="Arial" w:hAnsi="Arial" w:cs="Arial"/>
          <w:sz w:val="20"/>
          <w:szCs w:val="20"/>
        </w:rPr>
        <w:t xml:space="preserve">Problematika </w:t>
      </w:r>
      <w:r w:rsidR="005D6F50" w:rsidRPr="008C2B82">
        <w:rPr>
          <w:rFonts w:ascii="Arial" w:hAnsi="Arial" w:cs="Arial"/>
          <w:sz w:val="20"/>
          <w:szCs w:val="20"/>
        </w:rPr>
        <w:t xml:space="preserve">metamfetaminu </w:t>
      </w:r>
      <w:r w:rsidR="00965C26" w:rsidRPr="008C2B82">
        <w:rPr>
          <w:rFonts w:ascii="Arial" w:hAnsi="Arial" w:cs="Arial"/>
          <w:sz w:val="20"/>
          <w:szCs w:val="20"/>
        </w:rPr>
        <w:t xml:space="preserve">není </w:t>
      </w:r>
      <w:r w:rsidRPr="008C2B82">
        <w:rPr>
          <w:rFonts w:ascii="Arial" w:hAnsi="Arial" w:cs="Arial"/>
          <w:sz w:val="20"/>
          <w:szCs w:val="20"/>
        </w:rPr>
        <w:t xml:space="preserve">v Evropě </w:t>
      </w:r>
      <w:r w:rsidR="00965C26" w:rsidRPr="008C2B82">
        <w:rPr>
          <w:rFonts w:ascii="Arial" w:hAnsi="Arial" w:cs="Arial"/>
          <w:sz w:val="20"/>
          <w:szCs w:val="20"/>
        </w:rPr>
        <w:t>všude stejná,</w:t>
      </w:r>
      <w:r w:rsidRPr="008C2B82">
        <w:rPr>
          <w:rFonts w:ascii="Arial" w:hAnsi="Arial" w:cs="Arial"/>
          <w:sz w:val="20"/>
          <w:szCs w:val="20"/>
        </w:rPr>
        <w:t xml:space="preserve"> a příslušná řešení </w:t>
      </w:r>
      <w:r w:rsidR="00965C26" w:rsidRPr="008C2B82">
        <w:rPr>
          <w:rFonts w:ascii="Arial" w:hAnsi="Arial" w:cs="Arial"/>
          <w:sz w:val="20"/>
          <w:szCs w:val="20"/>
        </w:rPr>
        <w:t xml:space="preserve">tedy </w:t>
      </w:r>
      <w:r w:rsidRPr="008C2B82">
        <w:rPr>
          <w:rFonts w:ascii="Arial" w:hAnsi="Arial" w:cs="Arial"/>
          <w:sz w:val="20"/>
          <w:szCs w:val="20"/>
        </w:rPr>
        <w:t>bude třeba upravit, propracovat</w:t>
      </w:r>
      <w:r w:rsidR="00EB475A" w:rsidRPr="008C2B82">
        <w:rPr>
          <w:rFonts w:ascii="Arial" w:hAnsi="Arial" w:cs="Arial"/>
          <w:sz w:val="20"/>
          <w:szCs w:val="20"/>
        </w:rPr>
        <w:t xml:space="preserve"> a </w:t>
      </w:r>
      <w:r w:rsidRPr="008C2B82">
        <w:rPr>
          <w:rFonts w:ascii="Arial" w:hAnsi="Arial" w:cs="Arial"/>
          <w:sz w:val="20"/>
          <w:szCs w:val="20"/>
        </w:rPr>
        <w:t>přizpůsobit podle místních vzorců užívání a </w:t>
      </w:r>
      <w:r w:rsidR="003F2F7B" w:rsidRPr="008C2B82">
        <w:rPr>
          <w:rFonts w:ascii="Arial" w:hAnsi="Arial" w:cs="Arial"/>
          <w:sz w:val="20"/>
          <w:szCs w:val="20"/>
        </w:rPr>
        <w:t xml:space="preserve">zaznamenaných </w:t>
      </w:r>
      <w:r w:rsidRPr="008C2B82">
        <w:rPr>
          <w:rFonts w:ascii="Arial" w:hAnsi="Arial" w:cs="Arial"/>
          <w:sz w:val="20"/>
          <w:szCs w:val="20"/>
        </w:rPr>
        <w:t xml:space="preserve">problémů“. </w:t>
      </w:r>
    </w:p>
    <w:p w:rsidR="00D32AF5" w:rsidRPr="008C2B82" w:rsidRDefault="00880AA6">
      <w:pPr>
        <w:rPr>
          <w:rFonts w:ascii="Arial" w:hAnsi="Arial" w:cs="Arial"/>
          <w:b/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>Přezkum pokroku v oblasti léků k léčbě závislosti na kokainu</w:t>
      </w:r>
    </w:p>
    <w:p w:rsidR="00D32AF5" w:rsidRPr="008C2B82" w:rsidRDefault="00880AA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 xml:space="preserve">Kokain je i nadále nejčastěji </w:t>
      </w:r>
      <w:r w:rsidR="00976432" w:rsidRPr="008C2B82">
        <w:rPr>
          <w:rFonts w:ascii="Arial" w:hAnsi="Arial" w:cs="Arial"/>
          <w:sz w:val="20"/>
          <w:szCs w:val="20"/>
        </w:rPr>
        <w:t>užívan</w:t>
      </w:r>
      <w:r w:rsidR="00BA4DD0">
        <w:rPr>
          <w:rFonts w:ascii="Arial" w:hAnsi="Arial" w:cs="Arial"/>
          <w:sz w:val="20"/>
          <w:szCs w:val="20"/>
        </w:rPr>
        <w:t>ou nelegální stimulační drogou</w:t>
      </w:r>
      <w:r w:rsidRPr="008C2B82">
        <w:rPr>
          <w:rFonts w:ascii="Arial" w:hAnsi="Arial" w:cs="Arial"/>
          <w:sz w:val="20"/>
          <w:szCs w:val="20"/>
        </w:rPr>
        <w:t xml:space="preserve"> v Evropě a léčba závislosti na kokainu </w:t>
      </w:r>
      <w:r w:rsidR="00976432" w:rsidRPr="008C2B82">
        <w:rPr>
          <w:rFonts w:ascii="Arial" w:hAnsi="Arial" w:cs="Arial"/>
          <w:sz w:val="20"/>
          <w:szCs w:val="20"/>
        </w:rPr>
        <w:t>s sebou nadále přináší výzvy</w:t>
      </w:r>
      <w:r w:rsidRPr="008C2B82">
        <w:rPr>
          <w:rFonts w:ascii="Arial" w:hAnsi="Arial" w:cs="Arial"/>
          <w:sz w:val="20"/>
          <w:szCs w:val="20"/>
        </w:rPr>
        <w:t xml:space="preserve">. V roce 2012 uvedlo </w:t>
      </w:r>
      <w:r w:rsidR="00056C51" w:rsidRPr="008C2B82">
        <w:rPr>
          <w:rFonts w:ascii="Arial" w:hAnsi="Arial" w:cs="Arial"/>
          <w:sz w:val="20"/>
          <w:szCs w:val="20"/>
        </w:rPr>
        <w:t xml:space="preserve">kokain jako primární </w:t>
      </w:r>
      <w:r w:rsidR="003F2F7B" w:rsidRPr="008C2B82">
        <w:rPr>
          <w:rFonts w:ascii="Arial" w:hAnsi="Arial" w:cs="Arial"/>
          <w:sz w:val="20"/>
          <w:szCs w:val="20"/>
        </w:rPr>
        <w:t xml:space="preserve">drogu </w:t>
      </w:r>
      <w:r w:rsidRPr="008C2B82">
        <w:rPr>
          <w:rFonts w:ascii="Arial" w:hAnsi="Arial" w:cs="Arial"/>
          <w:sz w:val="20"/>
          <w:szCs w:val="20"/>
        </w:rPr>
        <w:t xml:space="preserve">14 % klientů nastupujících </w:t>
      </w:r>
      <w:r w:rsidR="005D6F50" w:rsidRPr="008C2B82">
        <w:rPr>
          <w:rFonts w:ascii="Arial" w:hAnsi="Arial" w:cs="Arial"/>
          <w:sz w:val="20"/>
          <w:szCs w:val="20"/>
        </w:rPr>
        <w:t xml:space="preserve">specializovanou </w:t>
      </w:r>
      <w:r w:rsidRPr="008C2B82">
        <w:rPr>
          <w:rFonts w:ascii="Arial" w:hAnsi="Arial" w:cs="Arial"/>
          <w:sz w:val="20"/>
          <w:szCs w:val="20"/>
        </w:rPr>
        <w:t xml:space="preserve">léčbu </w:t>
      </w:r>
      <w:r w:rsidR="003F2F7B" w:rsidRPr="008C2B82">
        <w:rPr>
          <w:rFonts w:ascii="Arial" w:hAnsi="Arial" w:cs="Arial"/>
          <w:sz w:val="20"/>
          <w:szCs w:val="20"/>
        </w:rPr>
        <w:t xml:space="preserve">drogové </w:t>
      </w:r>
      <w:r w:rsidRPr="008C2B82">
        <w:rPr>
          <w:rFonts w:ascii="Arial" w:hAnsi="Arial" w:cs="Arial"/>
          <w:sz w:val="20"/>
          <w:szCs w:val="20"/>
        </w:rPr>
        <w:t xml:space="preserve">závislosti v Evropě. Agentura </w:t>
      </w:r>
      <w:r w:rsidRPr="008C2B82">
        <w:rPr>
          <w:rFonts w:ascii="Arial" w:hAnsi="Arial" w:cs="Arial"/>
          <w:b/>
          <w:sz w:val="20"/>
          <w:szCs w:val="20"/>
        </w:rPr>
        <w:t>EMCDDA</w:t>
      </w:r>
      <w:r w:rsidRPr="008C2B82">
        <w:rPr>
          <w:rFonts w:ascii="Arial" w:hAnsi="Arial" w:cs="Arial"/>
          <w:sz w:val="20"/>
          <w:szCs w:val="20"/>
        </w:rPr>
        <w:t xml:space="preserve"> dnes představuje metaanalýzu šesti </w:t>
      </w:r>
      <w:r w:rsidR="00BA4DD0">
        <w:rPr>
          <w:rFonts w:ascii="Arial" w:hAnsi="Arial" w:cs="Arial"/>
          <w:sz w:val="20"/>
          <w:szCs w:val="20"/>
        </w:rPr>
        <w:t>přehledů</w:t>
      </w:r>
      <w:r w:rsidRPr="008C2B82">
        <w:rPr>
          <w:rFonts w:ascii="Arial" w:hAnsi="Arial" w:cs="Arial"/>
          <w:sz w:val="20"/>
          <w:szCs w:val="20"/>
        </w:rPr>
        <w:t xml:space="preserve">, které </w:t>
      </w:r>
      <w:r w:rsidR="00BA4DD0">
        <w:rPr>
          <w:rFonts w:ascii="Arial" w:hAnsi="Arial" w:cs="Arial"/>
          <w:sz w:val="20"/>
          <w:szCs w:val="20"/>
        </w:rPr>
        <w:t>analyzují</w:t>
      </w:r>
      <w:r w:rsidR="00BA4DD0" w:rsidRPr="008C2B82">
        <w:rPr>
          <w:rFonts w:ascii="Arial" w:hAnsi="Arial" w:cs="Arial"/>
          <w:sz w:val="20"/>
          <w:szCs w:val="20"/>
        </w:rPr>
        <w:t xml:space="preserve"> </w:t>
      </w:r>
      <w:r w:rsidRPr="008C2B82">
        <w:rPr>
          <w:rFonts w:ascii="Arial" w:hAnsi="Arial" w:cs="Arial"/>
          <w:sz w:val="20"/>
          <w:szCs w:val="20"/>
        </w:rPr>
        <w:t xml:space="preserve">účinnost léků používaných k léčbě závislosti na kokainu a jejich přijetí uživateli. Původní </w:t>
      </w:r>
      <w:r w:rsidR="00BA4DD0">
        <w:rPr>
          <w:rFonts w:ascii="Arial" w:hAnsi="Arial" w:cs="Arial"/>
          <w:sz w:val="20"/>
          <w:szCs w:val="20"/>
        </w:rPr>
        <w:t>přehledy</w:t>
      </w:r>
      <w:r w:rsidRPr="008C2B82">
        <w:rPr>
          <w:rFonts w:ascii="Arial" w:hAnsi="Arial" w:cs="Arial"/>
          <w:sz w:val="20"/>
          <w:szCs w:val="20"/>
        </w:rPr>
        <w:t xml:space="preserve">, které provedla </w:t>
      </w:r>
      <w:r w:rsidR="00976432" w:rsidRPr="00F07CDA">
        <w:rPr>
          <w:rFonts w:ascii="Arial" w:hAnsi="Arial" w:cs="Arial"/>
          <w:sz w:val="20"/>
          <w:szCs w:val="20"/>
        </w:rPr>
        <w:t xml:space="preserve">skupina Cochrane </w:t>
      </w:r>
      <w:r w:rsidRPr="008C2B82">
        <w:rPr>
          <w:rFonts w:ascii="Arial" w:hAnsi="Arial" w:cs="Arial"/>
          <w:sz w:val="20"/>
          <w:szCs w:val="20"/>
        </w:rPr>
        <w:t xml:space="preserve">pro drogy a alkohol, zahrnovaly 92 studií (z toho 85 v USA) a více než 7 000 účastníků. Tyto </w:t>
      </w:r>
      <w:r w:rsidR="00BA4DD0">
        <w:rPr>
          <w:rFonts w:ascii="Arial" w:hAnsi="Arial" w:cs="Arial"/>
          <w:sz w:val="20"/>
          <w:szCs w:val="20"/>
        </w:rPr>
        <w:t>přehledy dokládají</w:t>
      </w:r>
      <w:r w:rsidRPr="008C2B82">
        <w:rPr>
          <w:rFonts w:ascii="Arial" w:hAnsi="Arial" w:cs="Arial"/>
          <w:sz w:val="20"/>
          <w:szCs w:val="20"/>
        </w:rPr>
        <w:t xml:space="preserve">, </w:t>
      </w:r>
      <w:r w:rsidR="00BA4DD0">
        <w:rPr>
          <w:rFonts w:ascii="Arial" w:hAnsi="Arial" w:cs="Arial"/>
          <w:sz w:val="20"/>
          <w:szCs w:val="20"/>
        </w:rPr>
        <w:t>že</w:t>
      </w:r>
      <w:r w:rsidR="00BA4DD0" w:rsidRPr="008C2B82">
        <w:rPr>
          <w:rFonts w:ascii="Arial" w:hAnsi="Arial" w:cs="Arial"/>
          <w:sz w:val="20"/>
          <w:szCs w:val="20"/>
        </w:rPr>
        <w:t xml:space="preserve"> </w:t>
      </w:r>
      <w:r w:rsidRPr="008C2B82">
        <w:rPr>
          <w:rFonts w:ascii="Arial" w:hAnsi="Arial" w:cs="Arial"/>
          <w:sz w:val="20"/>
          <w:szCs w:val="20"/>
        </w:rPr>
        <w:t>některé léky mohou snížit bažení uživatelů</w:t>
      </w:r>
      <w:r w:rsidR="00BA4DD0">
        <w:rPr>
          <w:rFonts w:ascii="Arial" w:hAnsi="Arial" w:cs="Arial"/>
          <w:sz w:val="20"/>
          <w:szCs w:val="20"/>
        </w:rPr>
        <w:t xml:space="preserve"> (tzv. craving)</w:t>
      </w:r>
      <w:r w:rsidR="005D6F50" w:rsidRPr="008C2B82">
        <w:rPr>
          <w:rFonts w:ascii="Arial" w:hAnsi="Arial" w:cs="Arial"/>
          <w:sz w:val="20"/>
          <w:szCs w:val="20"/>
        </w:rPr>
        <w:t xml:space="preserve">, </w:t>
      </w:r>
      <w:r w:rsidR="00BA4DD0">
        <w:rPr>
          <w:rFonts w:ascii="Arial" w:hAnsi="Arial" w:cs="Arial"/>
          <w:sz w:val="20"/>
          <w:szCs w:val="20"/>
        </w:rPr>
        <w:t xml:space="preserve">nicméně </w:t>
      </w:r>
      <w:r w:rsidR="005D6F50" w:rsidRPr="008C2B82">
        <w:rPr>
          <w:rFonts w:ascii="Arial" w:hAnsi="Arial" w:cs="Arial"/>
          <w:sz w:val="20"/>
          <w:szCs w:val="20"/>
        </w:rPr>
        <w:t xml:space="preserve">pro </w:t>
      </w:r>
      <w:r w:rsidR="005D6F50" w:rsidRPr="00F07CDA">
        <w:rPr>
          <w:rFonts w:ascii="Arial" w:hAnsi="Arial" w:cs="Arial"/>
          <w:sz w:val="20"/>
          <w:szCs w:val="20"/>
        </w:rPr>
        <w:t>léčbu</w:t>
      </w:r>
      <w:r w:rsidRPr="00F07CDA">
        <w:rPr>
          <w:rFonts w:ascii="Arial" w:hAnsi="Arial" w:cs="Arial"/>
          <w:sz w:val="20"/>
          <w:szCs w:val="20"/>
        </w:rPr>
        <w:t xml:space="preserve"> závislost</w:t>
      </w:r>
      <w:r w:rsidR="00965C26" w:rsidRPr="00F07CDA">
        <w:rPr>
          <w:rFonts w:ascii="Arial" w:hAnsi="Arial" w:cs="Arial"/>
          <w:sz w:val="20"/>
          <w:szCs w:val="20"/>
        </w:rPr>
        <w:t>i</w:t>
      </w:r>
      <w:r w:rsidRPr="00F07CDA">
        <w:rPr>
          <w:rFonts w:ascii="Arial" w:hAnsi="Arial" w:cs="Arial"/>
          <w:sz w:val="20"/>
          <w:szCs w:val="20"/>
        </w:rPr>
        <w:t xml:space="preserve"> </w:t>
      </w:r>
      <w:r w:rsidR="00F07CDA" w:rsidRPr="00F07CDA">
        <w:rPr>
          <w:rFonts w:ascii="Arial" w:hAnsi="Arial" w:cs="Arial"/>
          <w:sz w:val="20"/>
          <w:szCs w:val="20"/>
        </w:rPr>
        <w:t xml:space="preserve">na kokainu </w:t>
      </w:r>
      <w:r w:rsidRPr="00F07CDA">
        <w:rPr>
          <w:rFonts w:ascii="Arial" w:hAnsi="Arial" w:cs="Arial"/>
          <w:sz w:val="20"/>
          <w:szCs w:val="20"/>
        </w:rPr>
        <w:t xml:space="preserve">nebylo nalezeno </w:t>
      </w:r>
      <w:r w:rsidR="00F07CDA">
        <w:rPr>
          <w:rFonts w:ascii="Arial" w:hAnsi="Arial" w:cs="Arial"/>
          <w:sz w:val="20"/>
          <w:szCs w:val="20"/>
        </w:rPr>
        <w:t>jediné</w:t>
      </w:r>
      <w:r w:rsidR="00F07CDA" w:rsidRPr="00F07CDA">
        <w:rPr>
          <w:rFonts w:ascii="Arial" w:hAnsi="Arial" w:cs="Arial"/>
          <w:sz w:val="20"/>
          <w:szCs w:val="20"/>
        </w:rPr>
        <w:t xml:space="preserve"> </w:t>
      </w:r>
      <w:r w:rsidR="00BA4DD0">
        <w:rPr>
          <w:rFonts w:ascii="Arial" w:hAnsi="Arial" w:cs="Arial"/>
          <w:sz w:val="20"/>
          <w:szCs w:val="20"/>
        </w:rPr>
        <w:t xml:space="preserve">průkazné </w:t>
      </w:r>
      <w:r w:rsidRPr="00F07CDA">
        <w:rPr>
          <w:rFonts w:ascii="Arial" w:hAnsi="Arial" w:cs="Arial"/>
          <w:sz w:val="20"/>
          <w:szCs w:val="20"/>
        </w:rPr>
        <w:t xml:space="preserve">farmakologické řešení. </w:t>
      </w:r>
      <w:r w:rsidR="00A91ECF" w:rsidRPr="00F07CDA">
        <w:rPr>
          <w:rFonts w:ascii="Arial" w:hAnsi="Arial" w:cs="Arial"/>
          <w:sz w:val="20"/>
          <w:szCs w:val="20"/>
        </w:rPr>
        <w:t>Zatímco</w:t>
      </w:r>
      <w:r w:rsidRPr="00F07CDA">
        <w:rPr>
          <w:rFonts w:ascii="Arial" w:hAnsi="Arial" w:cs="Arial"/>
          <w:sz w:val="20"/>
          <w:szCs w:val="20"/>
        </w:rPr>
        <w:t xml:space="preserve"> výzkum v této oblasti</w:t>
      </w:r>
      <w:r w:rsidR="00A91ECF" w:rsidRPr="008C2B82">
        <w:rPr>
          <w:rFonts w:ascii="Arial" w:hAnsi="Arial" w:cs="Arial"/>
          <w:sz w:val="20"/>
          <w:szCs w:val="20"/>
        </w:rPr>
        <w:t xml:space="preserve"> postupuje</w:t>
      </w:r>
      <w:r w:rsidRPr="008C2B82">
        <w:rPr>
          <w:rFonts w:ascii="Arial" w:hAnsi="Arial" w:cs="Arial"/>
          <w:sz w:val="20"/>
          <w:szCs w:val="20"/>
        </w:rPr>
        <w:t xml:space="preserve">, jsou i nadále klíčovým </w:t>
      </w:r>
      <w:r w:rsidR="00BA4DD0">
        <w:rPr>
          <w:rFonts w:ascii="Arial" w:hAnsi="Arial" w:cs="Arial"/>
          <w:sz w:val="20"/>
          <w:szCs w:val="20"/>
        </w:rPr>
        <w:t>nástrojem</w:t>
      </w:r>
      <w:r w:rsidR="00BA4DD0" w:rsidRPr="008C2B82">
        <w:rPr>
          <w:rFonts w:ascii="Arial" w:hAnsi="Arial" w:cs="Arial"/>
          <w:sz w:val="20"/>
          <w:szCs w:val="20"/>
        </w:rPr>
        <w:t xml:space="preserve"> </w:t>
      </w:r>
      <w:r w:rsidRPr="008C2B82">
        <w:rPr>
          <w:rFonts w:ascii="Arial" w:hAnsi="Arial" w:cs="Arial"/>
          <w:sz w:val="20"/>
          <w:szCs w:val="20"/>
        </w:rPr>
        <w:t xml:space="preserve">v léčbě uživatelů kokainu psychosociální intervence (viz video). </w:t>
      </w:r>
    </w:p>
    <w:p w:rsidR="00D32AF5" w:rsidRPr="008C2B82" w:rsidRDefault="00880A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 xml:space="preserve">Domácí produkce </w:t>
      </w:r>
      <w:r w:rsidR="00A91ECF" w:rsidRPr="008C2B82">
        <w:rPr>
          <w:rFonts w:ascii="Arial" w:hAnsi="Arial" w:cs="Arial"/>
          <w:b/>
          <w:sz w:val="20"/>
          <w:szCs w:val="20"/>
        </w:rPr>
        <w:t>marihuany</w:t>
      </w:r>
      <w:r w:rsidRPr="008C2B82">
        <w:rPr>
          <w:rFonts w:ascii="Arial" w:hAnsi="Arial" w:cs="Arial"/>
          <w:b/>
          <w:sz w:val="20"/>
          <w:szCs w:val="20"/>
        </w:rPr>
        <w:t xml:space="preserve"> jako hlavní zdroj nabídky – zvyšující se potence dovážené</w:t>
      </w:r>
      <w:r w:rsidR="00A91ECF" w:rsidRPr="008C2B82">
        <w:rPr>
          <w:rFonts w:ascii="Arial" w:hAnsi="Arial" w:cs="Arial"/>
          <w:b/>
          <w:sz w:val="20"/>
          <w:szCs w:val="20"/>
        </w:rPr>
        <w:t>ho</w:t>
      </w:r>
      <w:r w:rsidRPr="008C2B82">
        <w:rPr>
          <w:rFonts w:ascii="Arial" w:hAnsi="Arial" w:cs="Arial"/>
          <w:b/>
          <w:sz w:val="20"/>
          <w:szCs w:val="20"/>
        </w:rPr>
        <w:t xml:space="preserve"> </w:t>
      </w:r>
      <w:r w:rsidR="00A91ECF" w:rsidRPr="008C2B82">
        <w:rPr>
          <w:rFonts w:ascii="Arial" w:hAnsi="Arial" w:cs="Arial"/>
          <w:b/>
          <w:sz w:val="20"/>
          <w:szCs w:val="20"/>
        </w:rPr>
        <w:t xml:space="preserve">hašiše </w:t>
      </w:r>
    </w:p>
    <w:p w:rsidR="00D32AF5" w:rsidRPr="008C2B82" w:rsidRDefault="00D32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D32AF5" w:rsidRPr="008C2B82" w:rsidRDefault="00880AA6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8C2B82">
        <w:rPr>
          <w:rFonts w:ascii="Arial" w:hAnsi="Arial" w:cs="Arial"/>
          <w:bCs/>
          <w:sz w:val="20"/>
          <w:szCs w:val="20"/>
        </w:rPr>
        <w:t xml:space="preserve">Evropa je již dlouho jedním z největších světových 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spotřebitelských </w:t>
      </w:r>
      <w:r w:rsidRPr="008C2B82">
        <w:rPr>
          <w:rFonts w:ascii="Arial" w:hAnsi="Arial" w:cs="Arial"/>
          <w:bCs/>
          <w:sz w:val="20"/>
          <w:szCs w:val="20"/>
        </w:rPr>
        <w:t>trhů</w:t>
      </w:r>
      <w:r w:rsidR="001D6EE0" w:rsidRPr="008C2B82">
        <w:rPr>
          <w:rFonts w:ascii="Arial" w:hAnsi="Arial" w:cs="Arial"/>
          <w:bCs/>
          <w:sz w:val="20"/>
          <w:szCs w:val="20"/>
        </w:rPr>
        <w:t xml:space="preserve"> pro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 </w:t>
      </w:r>
      <w:r w:rsidRPr="008C2B82">
        <w:rPr>
          <w:rFonts w:ascii="Arial" w:hAnsi="Arial" w:cs="Arial"/>
          <w:bCs/>
          <w:sz w:val="20"/>
          <w:szCs w:val="20"/>
        </w:rPr>
        <w:t xml:space="preserve">konopí, zejména </w:t>
      </w:r>
      <w:r w:rsidR="00A91ECF" w:rsidRPr="008C2B82">
        <w:rPr>
          <w:rFonts w:ascii="Arial" w:hAnsi="Arial" w:cs="Arial"/>
          <w:bCs/>
          <w:sz w:val="20"/>
          <w:szCs w:val="20"/>
        </w:rPr>
        <w:t>hašiš</w:t>
      </w:r>
      <w:r w:rsidR="00BA4DD0">
        <w:rPr>
          <w:rFonts w:ascii="Arial" w:hAnsi="Arial" w:cs="Arial"/>
          <w:bCs/>
          <w:sz w:val="20"/>
          <w:szCs w:val="20"/>
        </w:rPr>
        <w:t>e</w:t>
      </w:r>
      <w:r w:rsidRPr="008C2B82">
        <w:rPr>
          <w:rFonts w:ascii="Arial" w:hAnsi="Arial" w:cs="Arial"/>
          <w:bCs/>
          <w:sz w:val="20"/>
          <w:szCs w:val="20"/>
        </w:rPr>
        <w:t xml:space="preserve"> </w:t>
      </w:r>
      <w:r w:rsidR="00A02038" w:rsidRPr="008C2B82">
        <w:rPr>
          <w:rFonts w:ascii="Arial" w:hAnsi="Arial" w:cs="Arial"/>
          <w:bCs/>
          <w:sz w:val="20"/>
          <w:szCs w:val="20"/>
        </w:rPr>
        <w:t>dovážen</w:t>
      </w:r>
      <w:r w:rsidR="00BA4DD0">
        <w:rPr>
          <w:rFonts w:ascii="Arial" w:hAnsi="Arial" w:cs="Arial"/>
          <w:bCs/>
          <w:sz w:val="20"/>
          <w:szCs w:val="20"/>
        </w:rPr>
        <w:t>ého</w:t>
      </w:r>
      <w:r w:rsidR="00A02038" w:rsidRPr="008C2B82">
        <w:rPr>
          <w:rFonts w:ascii="Arial" w:hAnsi="Arial" w:cs="Arial"/>
          <w:bCs/>
          <w:sz w:val="20"/>
          <w:szCs w:val="20"/>
        </w:rPr>
        <w:t xml:space="preserve"> </w:t>
      </w:r>
      <w:r w:rsidRPr="008C2B82">
        <w:rPr>
          <w:rFonts w:ascii="Arial" w:hAnsi="Arial" w:cs="Arial"/>
          <w:bCs/>
          <w:sz w:val="20"/>
          <w:szCs w:val="20"/>
        </w:rPr>
        <w:t>převážně z </w:t>
      </w:r>
      <w:r w:rsidRPr="008C2B82">
        <w:rPr>
          <w:rFonts w:ascii="Arial" w:hAnsi="Arial" w:cs="Arial"/>
          <w:b/>
          <w:bCs/>
          <w:sz w:val="20"/>
          <w:szCs w:val="20"/>
        </w:rPr>
        <w:t>Maroka</w:t>
      </w:r>
      <w:r w:rsidRPr="008C2B82">
        <w:rPr>
          <w:rFonts w:ascii="Arial" w:hAnsi="Arial" w:cs="Arial"/>
          <w:bCs/>
          <w:sz w:val="20"/>
          <w:szCs w:val="20"/>
        </w:rPr>
        <w:t xml:space="preserve">. Odhaduje se, že v Evropě 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se </w:t>
      </w:r>
      <w:r w:rsidRPr="008C2B82">
        <w:rPr>
          <w:rFonts w:ascii="Arial" w:hAnsi="Arial" w:cs="Arial"/>
          <w:bCs/>
          <w:sz w:val="20"/>
          <w:szCs w:val="20"/>
        </w:rPr>
        <w:t xml:space="preserve">každoročně spotřebuje přibližně 2 050 tun hašiše a marihuany. Agentura </w:t>
      </w:r>
      <w:r w:rsidRPr="008C2B82">
        <w:rPr>
          <w:rFonts w:ascii="Arial" w:hAnsi="Arial" w:cs="Arial"/>
          <w:b/>
          <w:bCs/>
          <w:sz w:val="20"/>
          <w:szCs w:val="20"/>
        </w:rPr>
        <w:t>EMCDDA</w:t>
      </w:r>
      <w:r w:rsidRPr="008C2B82">
        <w:rPr>
          <w:rFonts w:ascii="Arial" w:hAnsi="Arial" w:cs="Arial"/>
          <w:bCs/>
          <w:sz w:val="20"/>
          <w:szCs w:val="20"/>
        </w:rPr>
        <w:t xml:space="preserve"> uvádí, že </w:t>
      </w:r>
      <w:r w:rsidR="00BA4DD0">
        <w:rPr>
          <w:rFonts w:ascii="Arial" w:hAnsi="Arial" w:cs="Arial"/>
          <w:bCs/>
          <w:sz w:val="20"/>
          <w:szCs w:val="20"/>
        </w:rPr>
        <w:t xml:space="preserve">současnému </w:t>
      </w:r>
      <w:r w:rsidRPr="008C2B82">
        <w:rPr>
          <w:rFonts w:ascii="Arial" w:hAnsi="Arial" w:cs="Arial"/>
          <w:bCs/>
          <w:sz w:val="20"/>
          <w:szCs w:val="20"/>
        </w:rPr>
        <w:t xml:space="preserve">evropskému trhu spotřebitelů konopí dominují rostlinné 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přípravky </w:t>
      </w:r>
      <w:r w:rsidRPr="008C2B82">
        <w:rPr>
          <w:rFonts w:ascii="Arial" w:hAnsi="Arial" w:cs="Arial"/>
          <w:bCs/>
          <w:sz w:val="20"/>
          <w:szCs w:val="20"/>
        </w:rPr>
        <w:t>a že domácí uživatele zásobuje domácí rostlinná produkce. Plantáže</w:t>
      </w:r>
      <w:r w:rsidR="00506DF4">
        <w:rPr>
          <w:rFonts w:ascii="Arial" w:hAnsi="Arial" w:cs="Arial"/>
          <w:bCs/>
          <w:sz w:val="20"/>
          <w:szCs w:val="20"/>
        </w:rPr>
        <w:t xml:space="preserve"> p</w:t>
      </w:r>
      <w:r w:rsidR="000F0289">
        <w:rPr>
          <w:rFonts w:ascii="Arial" w:hAnsi="Arial" w:cs="Arial"/>
          <w:bCs/>
          <w:sz w:val="20"/>
          <w:szCs w:val="20"/>
        </w:rPr>
        <w:t>ěstírny</w:t>
      </w:r>
      <w:r w:rsidRPr="008C2B82">
        <w:rPr>
          <w:rFonts w:ascii="Arial" w:hAnsi="Arial" w:cs="Arial"/>
          <w:bCs/>
          <w:sz w:val="20"/>
          <w:szCs w:val="20"/>
        </w:rPr>
        <w:t xml:space="preserve"> konopí jsou </w:t>
      </w:r>
      <w:r w:rsidR="00A02038" w:rsidRPr="008C2B82">
        <w:rPr>
          <w:rFonts w:ascii="Arial" w:hAnsi="Arial" w:cs="Arial"/>
          <w:bCs/>
          <w:sz w:val="20"/>
          <w:szCs w:val="20"/>
        </w:rPr>
        <w:t xml:space="preserve">v celé Evropě </w:t>
      </w:r>
      <w:r w:rsidR="006E4E7A" w:rsidRPr="008C2B82">
        <w:rPr>
          <w:rFonts w:ascii="Arial" w:hAnsi="Arial" w:cs="Arial"/>
          <w:bCs/>
          <w:sz w:val="20"/>
          <w:szCs w:val="20"/>
        </w:rPr>
        <w:t xml:space="preserve">odhalovány </w:t>
      </w:r>
      <w:r w:rsidRPr="008C2B82">
        <w:rPr>
          <w:rFonts w:ascii="Arial" w:hAnsi="Arial" w:cs="Arial"/>
          <w:bCs/>
          <w:sz w:val="20"/>
          <w:szCs w:val="20"/>
        </w:rPr>
        <w:t>stále častěji.</w:t>
      </w:r>
    </w:p>
    <w:p w:rsidR="00D32AF5" w:rsidRPr="008C2B82" w:rsidRDefault="00880AA6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8C2B82">
        <w:rPr>
          <w:rFonts w:ascii="Arial" w:hAnsi="Arial" w:cs="Arial"/>
          <w:bCs/>
          <w:sz w:val="20"/>
          <w:szCs w:val="20"/>
        </w:rPr>
        <w:t xml:space="preserve">Za poslední desetiletí překročil počet záchytů </w:t>
      </w:r>
      <w:r w:rsidR="00A91ECF" w:rsidRPr="008C2B82">
        <w:rPr>
          <w:rFonts w:ascii="Arial" w:hAnsi="Arial" w:cs="Arial"/>
          <w:bCs/>
          <w:sz w:val="20"/>
          <w:szCs w:val="20"/>
        </w:rPr>
        <w:t>marihuany</w:t>
      </w:r>
      <w:r w:rsidRPr="008C2B82">
        <w:rPr>
          <w:rFonts w:ascii="Arial" w:hAnsi="Arial" w:cs="Arial"/>
          <w:bCs/>
          <w:sz w:val="20"/>
          <w:szCs w:val="20"/>
        </w:rPr>
        <w:t xml:space="preserve"> v Evropě počet záchytů </w:t>
      </w:r>
      <w:r w:rsidR="00A91ECF" w:rsidRPr="008C2B82">
        <w:rPr>
          <w:rFonts w:ascii="Arial" w:hAnsi="Arial" w:cs="Arial"/>
          <w:bCs/>
          <w:sz w:val="20"/>
          <w:szCs w:val="20"/>
        </w:rPr>
        <w:t>hašiše</w:t>
      </w:r>
      <w:r w:rsidRPr="008C2B82">
        <w:rPr>
          <w:rFonts w:ascii="Arial" w:hAnsi="Arial" w:cs="Arial"/>
          <w:bCs/>
          <w:sz w:val="20"/>
          <w:szCs w:val="20"/>
        </w:rPr>
        <w:t xml:space="preserve">. V roce 2012 bylo hlášeno okolo 457 000 záchytů </w:t>
      </w:r>
      <w:r w:rsidR="00A91ECF" w:rsidRPr="008C2B82">
        <w:rPr>
          <w:rFonts w:ascii="Arial" w:hAnsi="Arial" w:cs="Arial"/>
          <w:bCs/>
          <w:sz w:val="20"/>
          <w:szCs w:val="20"/>
        </w:rPr>
        <w:t>marihuany</w:t>
      </w:r>
      <w:r w:rsidRPr="008C2B82">
        <w:rPr>
          <w:rFonts w:ascii="Arial" w:hAnsi="Arial" w:cs="Arial"/>
          <w:bCs/>
          <w:sz w:val="20"/>
          <w:szCs w:val="20"/>
        </w:rPr>
        <w:t xml:space="preserve"> ve srovnání s 258 000 </w:t>
      </w:r>
      <w:r w:rsidR="00A91ECF" w:rsidRPr="008C2B82">
        <w:rPr>
          <w:rFonts w:ascii="Arial" w:hAnsi="Arial" w:cs="Arial"/>
          <w:bCs/>
          <w:sz w:val="20"/>
          <w:szCs w:val="20"/>
        </w:rPr>
        <w:t>záchytů hašiše</w:t>
      </w:r>
      <w:r w:rsidRPr="008C2B82">
        <w:rPr>
          <w:rFonts w:ascii="Arial" w:hAnsi="Arial" w:cs="Arial"/>
          <w:bCs/>
          <w:sz w:val="20"/>
          <w:szCs w:val="20"/>
        </w:rPr>
        <w:t xml:space="preserve">. V roce 2012 bylo 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zachyceno </w:t>
      </w:r>
      <w:r w:rsidRPr="008C2B82">
        <w:rPr>
          <w:rFonts w:ascii="Arial" w:hAnsi="Arial" w:cs="Arial"/>
          <w:bCs/>
          <w:sz w:val="20"/>
          <w:szCs w:val="20"/>
        </w:rPr>
        <w:t xml:space="preserve">přibližně sedm milionů rostlin konopí, což více než 2,5krát překračuje množství hlášené před pěti lety. Inovace v produkci konopí v posledních letech </w:t>
      </w:r>
      <w:r w:rsidR="00BB2517" w:rsidRPr="008C2B82">
        <w:rPr>
          <w:rFonts w:ascii="Arial" w:hAnsi="Arial" w:cs="Arial"/>
          <w:bCs/>
          <w:sz w:val="20"/>
          <w:szCs w:val="20"/>
        </w:rPr>
        <w:t>představují</w:t>
      </w:r>
      <w:r w:rsidRPr="008C2B82">
        <w:rPr>
          <w:rFonts w:ascii="Arial" w:hAnsi="Arial" w:cs="Arial"/>
          <w:bCs/>
          <w:sz w:val="20"/>
          <w:szCs w:val="20"/>
        </w:rPr>
        <w:t xml:space="preserve"> důvod k obavám (viz video), jelikož pěstitelé pěstují rostliny s vysokým obsahem THC (aktivní </w:t>
      </w:r>
      <w:r w:rsidR="00A91ECF" w:rsidRPr="008C2B82">
        <w:rPr>
          <w:rFonts w:ascii="Arial" w:hAnsi="Arial" w:cs="Arial"/>
          <w:bCs/>
          <w:sz w:val="20"/>
          <w:szCs w:val="20"/>
        </w:rPr>
        <w:t xml:space="preserve">složka </w:t>
      </w:r>
      <w:r w:rsidRPr="008C2B82">
        <w:rPr>
          <w:rFonts w:ascii="Arial" w:hAnsi="Arial" w:cs="Arial"/>
          <w:bCs/>
          <w:sz w:val="20"/>
          <w:szCs w:val="20"/>
        </w:rPr>
        <w:t xml:space="preserve">v konopí) a nízkým obsahem CBD (antipsychotikum). Zatímco od roku 2006 stoupá potence obou forem konopí, byl v letech 2011–2012 zaznamenán relativně prudký nárůst potence </w:t>
      </w:r>
      <w:r w:rsidR="00A91ECF" w:rsidRPr="00F07CDA">
        <w:rPr>
          <w:rFonts w:ascii="Arial" w:hAnsi="Arial" w:cs="Arial"/>
          <w:bCs/>
          <w:sz w:val="20"/>
          <w:szCs w:val="20"/>
        </w:rPr>
        <w:t>hašiše</w:t>
      </w:r>
      <w:r w:rsidRPr="00F07CDA">
        <w:rPr>
          <w:rFonts w:ascii="Arial" w:hAnsi="Arial" w:cs="Arial"/>
          <w:bCs/>
          <w:sz w:val="20"/>
          <w:szCs w:val="20"/>
        </w:rPr>
        <w:t xml:space="preserve"> (viz </w:t>
      </w:r>
      <w:r w:rsidR="005D6F50" w:rsidRPr="00F07CDA">
        <w:rPr>
          <w:rFonts w:ascii="Arial" w:hAnsi="Arial" w:cs="Arial"/>
          <w:bCs/>
          <w:sz w:val="20"/>
          <w:szCs w:val="20"/>
        </w:rPr>
        <w:t>infografika</w:t>
      </w:r>
      <w:r w:rsidR="00976432" w:rsidRPr="00F07CDA">
        <w:rPr>
          <w:rFonts w:ascii="Arial" w:hAnsi="Arial" w:cs="Arial"/>
          <w:bCs/>
          <w:sz w:val="20"/>
          <w:szCs w:val="20"/>
        </w:rPr>
        <w:t xml:space="preserve"> ke konopí</w:t>
      </w:r>
      <w:r w:rsidRPr="00F07CDA">
        <w:rPr>
          <w:rFonts w:ascii="Arial" w:hAnsi="Arial" w:cs="Arial"/>
          <w:bCs/>
          <w:i/>
          <w:sz w:val="20"/>
          <w:szCs w:val="20"/>
        </w:rPr>
        <w:t>,</w:t>
      </w:r>
      <w:r w:rsidRPr="00F07CDA">
        <w:rPr>
          <w:rFonts w:ascii="Arial" w:hAnsi="Arial" w:cs="Arial"/>
          <w:bCs/>
          <w:sz w:val="20"/>
          <w:szCs w:val="20"/>
        </w:rPr>
        <w:t xml:space="preserve"> </w:t>
      </w:r>
      <w:r w:rsidR="00A91ECF" w:rsidRPr="00F07CDA">
        <w:rPr>
          <w:rFonts w:ascii="Arial" w:hAnsi="Arial" w:cs="Arial"/>
          <w:bCs/>
          <w:sz w:val="20"/>
          <w:szCs w:val="20"/>
        </w:rPr>
        <w:t>Evropská zpráva o</w:t>
      </w:r>
      <w:r w:rsidR="008C2B82" w:rsidRPr="00F07CDA">
        <w:rPr>
          <w:rFonts w:ascii="Arial" w:hAnsi="Arial" w:cs="Arial"/>
          <w:bCs/>
          <w:sz w:val="20"/>
          <w:szCs w:val="20"/>
        </w:rPr>
        <w:t> </w:t>
      </w:r>
      <w:r w:rsidR="00A91ECF" w:rsidRPr="00F07CDA">
        <w:rPr>
          <w:rFonts w:ascii="Arial" w:hAnsi="Arial" w:cs="Arial"/>
          <w:bCs/>
          <w:sz w:val="20"/>
          <w:szCs w:val="20"/>
        </w:rPr>
        <w:t>drogách</w:t>
      </w:r>
      <w:r w:rsidRPr="00F07CDA">
        <w:rPr>
          <w:rFonts w:ascii="Arial" w:hAnsi="Arial" w:cs="Arial"/>
          <w:bCs/>
          <w:sz w:val="20"/>
          <w:szCs w:val="20"/>
        </w:rPr>
        <w:t>, kapitola 1).</w:t>
      </w:r>
      <w:r w:rsidRPr="008C2B82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32AF5" w:rsidRPr="008C2B82" w:rsidRDefault="00880A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>Léčba závislost</w:t>
      </w:r>
      <w:r w:rsidR="000F0289">
        <w:rPr>
          <w:rFonts w:ascii="Arial" w:hAnsi="Arial" w:cs="Arial"/>
          <w:b/>
          <w:sz w:val="20"/>
          <w:szCs w:val="20"/>
        </w:rPr>
        <w:t>í</w:t>
      </w:r>
      <w:r w:rsidRPr="008C2B82">
        <w:rPr>
          <w:rFonts w:ascii="Arial" w:hAnsi="Arial" w:cs="Arial"/>
          <w:b/>
          <w:sz w:val="20"/>
          <w:szCs w:val="20"/>
        </w:rPr>
        <w:t xml:space="preserve"> prostřednictvím internetu – nové způsoby zapojení uživatelů drog </w:t>
      </w:r>
    </w:p>
    <w:p w:rsidR="00D32AF5" w:rsidRPr="008C2B82" w:rsidRDefault="00D32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2AF5" w:rsidRPr="008C2B82" w:rsidRDefault="00880AA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8C2B82">
        <w:rPr>
          <w:rFonts w:ascii="Arial" w:hAnsi="Arial" w:cs="Arial"/>
          <w:sz w:val="20"/>
          <w:szCs w:val="20"/>
        </w:rPr>
        <w:t xml:space="preserve">Internet se v současnosti považuje za možný nástroj uskutečňování </w:t>
      </w:r>
      <w:r w:rsidR="00A91ECF" w:rsidRPr="008C2B82">
        <w:rPr>
          <w:rFonts w:ascii="Arial" w:hAnsi="Arial" w:cs="Arial"/>
          <w:sz w:val="20"/>
          <w:szCs w:val="20"/>
        </w:rPr>
        <w:t>vzdělávacích, prevenčních a</w:t>
      </w:r>
      <w:r w:rsidR="008C2B82" w:rsidRPr="008C2B82">
        <w:rPr>
          <w:rFonts w:ascii="Arial" w:hAnsi="Arial" w:cs="Arial"/>
          <w:sz w:val="20"/>
          <w:szCs w:val="20"/>
        </w:rPr>
        <w:t> </w:t>
      </w:r>
      <w:r w:rsidR="00A91ECF" w:rsidRPr="008C2B82">
        <w:rPr>
          <w:rFonts w:ascii="Arial" w:hAnsi="Arial" w:cs="Arial"/>
          <w:sz w:val="20"/>
          <w:szCs w:val="20"/>
        </w:rPr>
        <w:t xml:space="preserve">léčebných </w:t>
      </w:r>
      <w:r w:rsidRPr="008C2B82">
        <w:rPr>
          <w:rFonts w:ascii="Arial" w:hAnsi="Arial" w:cs="Arial"/>
          <w:sz w:val="20"/>
          <w:szCs w:val="20"/>
        </w:rPr>
        <w:t xml:space="preserve">programů </w:t>
      </w:r>
      <w:r w:rsidR="00A91ECF" w:rsidRPr="008C2B82">
        <w:rPr>
          <w:rFonts w:ascii="Arial" w:hAnsi="Arial" w:cs="Arial"/>
          <w:sz w:val="20"/>
          <w:szCs w:val="20"/>
        </w:rPr>
        <w:t>v oblasti</w:t>
      </w:r>
      <w:r w:rsidRPr="008C2B82">
        <w:rPr>
          <w:rFonts w:ascii="Arial" w:hAnsi="Arial" w:cs="Arial"/>
          <w:sz w:val="20"/>
          <w:szCs w:val="20"/>
        </w:rPr>
        <w:t xml:space="preserve"> drogové a</w:t>
      </w:r>
      <w:r w:rsidR="00EB475A" w:rsidRPr="008C2B82">
        <w:rPr>
          <w:rFonts w:ascii="Arial" w:hAnsi="Arial" w:cs="Arial"/>
          <w:sz w:val="20"/>
          <w:szCs w:val="20"/>
        </w:rPr>
        <w:t> </w:t>
      </w:r>
      <w:r w:rsidRPr="008C2B82">
        <w:rPr>
          <w:rFonts w:ascii="Arial" w:hAnsi="Arial" w:cs="Arial"/>
          <w:sz w:val="20"/>
          <w:szCs w:val="20"/>
        </w:rPr>
        <w:t xml:space="preserve">alkoholové závislosti v řadě prostředí. Agentura </w:t>
      </w:r>
      <w:r w:rsidRPr="008C2B82">
        <w:rPr>
          <w:rFonts w:ascii="Arial" w:hAnsi="Arial" w:cs="Arial"/>
          <w:b/>
          <w:sz w:val="20"/>
          <w:szCs w:val="20"/>
        </w:rPr>
        <w:t>EMCDDA</w:t>
      </w:r>
      <w:r w:rsidRPr="008C2B82">
        <w:rPr>
          <w:rFonts w:ascii="Arial" w:hAnsi="Arial" w:cs="Arial"/>
          <w:sz w:val="20"/>
          <w:szCs w:val="20"/>
        </w:rPr>
        <w:t xml:space="preserve"> </w:t>
      </w:r>
      <w:r w:rsidR="00A02038" w:rsidRPr="008C2B82">
        <w:rPr>
          <w:rFonts w:ascii="Arial" w:hAnsi="Arial" w:cs="Arial"/>
          <w:sz w:val="20"/>
          <w:szCs w:val="20"/>
        </w:rPr>
        <w:t>v</w:t>
      </w:r>
      <w:r w:rsidR="008C2B82" w:rsidRPr="008C2B82">
        <w:rPr>
          <w:rFonts w:ascii="Arial" w:hAnsi="Arial" w:cs="Arial"/>
          <w:sz w:val="20"/>
          <w:szCs w:val="20"/>
        </w:rPr>
        <w:t> </w:t>
      </w:r>
      <w:r w:rsidR="00A02038" w:rsidRPr="008C2B82">
        <w:rPr>
          <w:rFonts w:ascii="Arial" w:hAnsi="Arial" w:cs="Arial"/>
          <w:sz w:val="20"/>
          <w:szCs w:val="20"/>
        </w:rPr>
        <w:t xml:space="preserve">současnosti </w:t>
      </w:r>
      <w:r w:rsidRPr="008C2B82">
        <w:rPr>
          <w:rFonts w:ascii="Arial" w:hAnsi="Arial" w:cs="Arial"/>
          <w:sz w:val="20"/>
          <w:szCs w:val="20"/>
        </w:rPr>
        <w:t xml:space="preserve">mapuje vývoj v léčbě </w:t>
      </w:r>
      <w:r w:rsidR="003F2F7B" w:rsidRPr="008C2B82">
        <w:rPr>
          <w:rFonts w:ascii="Arial" w:hAnsi="Arial" w:cs="Arial"/>
          <w:sz w:val="20"/>
          <w:szCs w:val="20"/>
        </w:rPr>
        <w:t>drogové závislosti prostřednictvím internetu</w:t>
      </w:r>
      <w:r w:rsidRPr="008C2B82">
        <w:rPr>
          <w:rFonts w:ascii="Arial" w:hAnsi="Arial" w:cs="Arial"/>
          <w:sz w:val="20"/>
          <w:szCs w:val="20"/>
        </w:rPr>
        <w:t xml:space="preserve">, která se v Evropě rozšířila během posledních 10 let, zejména v souvislosti s užíváním konopí. </w:t>
      </w:r>
      <w:r w:rsidR="00A91ECF" w:rsidRPr="008C2B82">
        <w:rPr>
          <w:rFonts w:ascii="Arial" w:hAnsi="Arial" w:cs="Arial"/>
          <w:sz w:val="20"/>
          <w:szCs w:val="20"/>
        </w:rPr>
        <w:t xml:space="preserve">Léčba drogové závislosti prostřednictvím internetu </w:t>
      </w:r>
      <w:r w:rsidRPr="008C2B82">
        <w:rPr>
          <w:rFonts w:ascii="Arial" w:hAnsi="Arial" w:cs="Arial"/>
          <w:sz w:val="20"/>
          <w:szCs w:val="20"/>
        </w:rPr>
        <w:t xml:space="preserve">používá soubor testovaných psychosociálních technik, které integruje do nového mechanismu poskytování </w:t>
      </w:r>
      <w:r w:rsidR="00A91ECF" w:rsidRPr="008C2B82">
        <w:rPr>
          <w:rFonts w:ascii="Arial" w:hAnsi="Arial" w:cs="Arial"/>
          <w:sz w:val="20"/>
          <w:szCs w:val="20"/>
        </w:rPr>
        <w:t xml:space="preserve">léčby </w:t>
      </w:r>
      <w:r w:rsidRPr="008C2B82">
        <w:rPr>
          <w:rFonts w:ascii="Arial" w:hAnsi="Arial" w:cs="Arial"/>
          <w:sz w:val="20"/>
          <w:szCs w:val="20"/>
        </w:rPr>
        <w:t xml:space="preserve">prostřednictvím internetu. Přestože je třeba řešit závažné otázky, jako je ochrana údajů a anonymita, může k výhodám poskytování tohoto typu služeb patřit: větší zeměpisné pokrytí, přístup k uživatelům, jež se specializovaným službám pro drogově závislé nepodařilo kontaktovat, a bezprostřednější pomoc (žádná čekací doba). S tím, jak se programy </w:t>
      </w:r>
      <w:r w:rsidR="00A91ECF" w:rsidRPr="008C2B82">
        <w:rPr>
          <w:rFonts w:ascii="Arial" w:hAnsi="Arial" w:cs="Arial"/>
          <w:sz w:val="20"/>
          <w:szCs w:val="20"/>
        </w:rPr>
        <w:t xml:space="preserve">léčby drogové závislosti prostřednictvím internetu rozvíjejí, </w:t>
      </w:r>
      <w:r w:rsidRPr="008C2B82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8C2B82">
        <w:rPr>
          <w:rFonts w:ascii="Arial" w:hAnsi="Arial" w:cs="Arial"/>
          <w:sz w:val="20"/>
          <w:szCs w:val="20"/>
        </w:rPr>
        <w:t>ohou tvořit užitečný doplněk tradičních služeb</w:t>
      </w:r>
      <w:r w:rsidR="00A91ECF" w:rsidRPr="008C2B82">
        <w:rPr>
          <w:rFonts w:ascii="Arial" w:hAnsi="Arial" w:cs="Arial"/>
          <w:sz w:val="20"/>
          <w:szCs w:val="20"/>
        </w:rPr>
        <w:t xml:space="preserve"> v oblasti léčby</w:t>
      </w:r>
      <w:r w:rsidR="00A02038" w:rsidRPr="008C2B82">
        <w:rPr>
          <w:rFonts w:ascii="Arial" w:hAnsi="Arial" w:cs="Arial"/>
          <w:sz w:val="20"/>
          <w:szCs w:val="20"/>
        </w:rPr>
        <w:t>, který</w:t>
      </w:r>
      <w:r w:rsidRPr="008C2B82">
        <w:rPr>
          <w:rFonts w:ascii="Arial" w:hAnsi="Arial" w:cs="Arial"/>
          <w:sz w:val="20"/>
          <w:szCs w:val="20"/>
        </w:rPr>
        <w:t xml:space="preserve"> nabízí nové způsoby zapojení uživatelů drog, kteří potřebují pomoc (viz video). </w:t>
      </w:r>
    </w:p>
    <w:p w:rsidR="00D32AF5" w:rsidRPr="008C2B82" w:rsidRDefault="00324C37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>Z</w:t>
      </w:r>
      <w:r w:rsidR="00880AA6" w:rsidRPr="008C2B82">
        <w:rPr>
          <w:rFonts w:ascii="Arial" w:hAnsi="Arial" w:cs="Arial"/>
          <w:b/>
          <w:sz w:val="20"/>
          <w:szCs w:val="20"/>
        </w:rPr>
        <w:t>jištění největší studie provedené v řadě měst týkající se analýzy drog v odpadních vodách</w:t>
      </w:r>
      <w:r w:rsidRPr="008C2B82">
        <w:rPr>
          <w:rFonts w:ascii="Arial" w:hAnsi="Arial" w:cs="Arial"/>
          <w:b/>
          <w:sz w:val="20"/>
          <w:szCs w:val="20"/>
        </w:rPr>
        <w:t xml:space="preserve"> </w:t>
      </w:r>
    </w:p>
    <w:p w:rsidR="00D32AF5" w:rsidRPr="008C2B82" w:rsidRDefault="00880AA6">
      <w:pPr>
        <w:pStyle w:val="CommentText"/>
        <w:spacing w:after="0" w:line="260" w:lineRule="exact"/>
        <w:rPr>
          <w:rFonts w:ascii="Arial" w:hAnsi="Arial" w:cs="Arial"/>
        </w:rPr>
      </w:pPr>
      <w:r w:rsidRPr="008C2B82">
        <w:rPr>
          <w:rFonts w:ascii="Arial" w:hAnsi="Arial" w:cs="Arial"/>
        </w:rPr>
        <w:t xml:space="preserve">Dnes byla rovněž zveřejněna zjištění dosud největšího evropského projektu ve vznikajícím vědním odvětví analýzy odpadních vod. V rámci tohoto projektu se prováděla analýza odpadních vod ve více </w:t>
      </w:r>
      <w:r w:rsidR="00506DF4">
        <w:rPr>
          <w:rFonts w:ascii="Arial" w:hAnsi="Arial" w:cs="Arial"/>
        </w:rPr>
        <w:t xml:space="preserve">          </w:t>
      </w:r>
      <w:r w:rsidRPr="008C2B82">
        <w:rPr>
          <w:rFonts w:ascii="Arial" w:hAnsi="Arial" w:cs="Arial"/>
        </w:rPr>
        <w:t xml:space="preserve">než 40 městech </w:t>
      </w:r>
      <w:r w:rsidR="00A91ECF" w:rsidRPr="008C2B82">
        <w:rPr>
          <w:rFonts w:ascii="Arial" w:hAnsi="Arial" w:cs="Arial"/>
        </w:rPr>
        <w:t>(</w:t>
      </w:r>
      <w:r w:rsidRPr="008C2B82">
        <w:rPr>
          <w:rFonts w:ascii="Arial" w:hAnsi="Arial" w:cs="Arial"/>
        </w:rPr>
        <w:t>ve 21 zemích</w:t>
      </w:r>
      <w:r w:rsidR="00A91ECF" w:rsidRPr="008C2B82">
        <w:rPr>
          <w:rFonts w:ascii="Arial" w:hAnsi="Arial" w:cs="Arial"/>
        </w:rPr>
        <w:t>)</w:t>
      </w:r>
      <w:r w:rsidRPr="008C2B82">
        <w:rPr>
          <w:rFonts w:ascii="Arial" w:hAnsi="Arial" w:cs="Arial"/>
        </w:rPr>
        <w:t xml:space="preserve">, aby se zjistilo, jaké jsou zvyklosti jejich obyvatel v souvislosti s užíváním drog. </w:t>
      </w:r>
      <w:r w:rsidR="00A91ECF" w:rsidRPr="008C2B82">
        <w:rPr>
          <w:rFonts w:ascii="Arial" w:hAnsi="Arial" w:cs="Arial"/>
        </w:rPr>
        <w:t>Z</w:t>
      </w:r>
      <w:r w:rsidR="00182C5A" w:rsidRPr="008C2B82">
        <w:rPr>
          <w:rFonts w:ascii="Arial" w:hAnsi="Arial" w:cs="Arial"/>
        </w:rPr>
        <w:t xml:space="preserve">ávěry jsou </w:t>
      </w:r>
      <w:r w:rsidR="00A91ECF" w:rsidRPr="008C2B82">
        <w:rPr>
          <w:rFonts w:ascii="Arial" w:hAnsi="Arial" w:cs="Arial"/>
        </w:rPr>
        <w:t>shrnuty v</w:t>
      </w:r>
      <w:r w:rsidR="00182C5A" w:rsidRPr="008C2B82">
        <w:rPr>
          <w:rFonts w:ascii="Arial" w:hAnsi="Arial" w:cs="Arial"/>
        </w:rPr>
        <w:t xml:space="preserve"> „</w:t>
      </w:r>
      <w:r w:rsidR="00A91ECF" w:rsidRPr="008C2B82">
        <w:rPr>
          <w:rFonts w:ascii="Arial" w:hAnsi="Arial" w:cs="Arial"/>
        </w:rPr>
        <w:t xml:space="preserve">Pohledech </w:t>
      </w:r>
      <w:r w:rsidRPr="008C2B82">
        <w:rPr>
          <w:rFonts w:ascii="Arial" w:hAnsi="Arial" w:cs="Arial"/>
        </w:rPr>
        <w:t xml:space="preserve">na drogy“ agentury </w:t>
      </w:r>
      <w:r w:rsidRPr="00506DF4">
        <w:rPr>
          <w:rFonts w:ascii="Arial" w:hAnsi="Arial" w:cs="Arial"/>
          <w:b/>
        </w:rPr>
        <w:t>EMCDDA</w:t>
      </w:r>
      <w:r w:rsidRPr="008C2B82">
        <w:rPr>
          <w:rFonts w:ascii="Arial" w:hAnsi="Arial" w:cs="Arial"/>
        </w:rPr>
        <w:t xml:space="preserve"> </w:t>
      </w:r>
      <w:r w:rsidR="00A91ECF" w:rsidRPr="008C2B82">
        <w:rPr>
          <w:rFonts w:ascii="Arial" w:hAnsi="Arial" w:cs="Arial"/>
        </w:rPr>
        <w:t xml:space="preserve">věnovaných </w:t>
      </w:r>
      <w:r w:rsidRPr="008C2B82">
        <w:rPr>
          <w:rFonts w:ascii="Arial" w:hAnsi="Arial" w:cs="Arial"/>
        </w:rPr>
        <w:t xml:space="preserve">této otázce. </w:t>
      </w:r>
      <w:r w:rsidR="00506DF4">
        <w:rPr>
          <w:rFonts w:ascii="Arial" w:hAnsi="Arial" w:cs="Arial"/>
        </w:rPr>
        <w:t xml:space="preserve">                       </w:t>
      </w:r>
      <w:r w:rsidRPr="008C2B82">
        <w:rPr>
          <w:rFonts w:ascii="Arial" w:hAnsi="Arial" w:cs="Arial"/>
        </w:rPr>
        <w:lastRenderedPageBreak/>
        <w:t>Byla provedena analýza odpadních vod</w:t>
      </w:r>
      <w:r w:rsidR="00A91ECF" w:rsidRPr="008C2B82">
        <w:rPr>
          <w:rFonts w:ascii="Arial" w:hAnsi="Arial" w:cs="Arial"/>
        </w:rPr>
        <w:t>,</w:t>
      </w:r>
      <w:r w:rsidRPr="008C2B82">
        <w:rPr>
          <w:rFonts w:ascii="Arial" w:hAnsi="Arial" w:cs="Arial"/>
        </w:rPr>
        <w:t xml:space="preserve"> </w:t>
      </w:r>
      <w:r w:rsidR="00A91ECF" w:rsidRPr="008C2B82">
        <w:rPr>
          <w:rFonts w:ascii="Arial" w:hAnsi="Arial" w:cs="Arial"/>
        </w:rPr>
        <w:t xml:space="preserve">které pocházely </w:t>
      </w:r>
      <w:r w:rsidRPr="008C2B82">
        <w:rPr>
          <w:rFonts w:ascii="Arial" w:hAnsi="Arial" w:cs="Arial"/>
        </w:rPr>
        <w:t>od přibližně 8 milionů osob</w:t>
      </w:r>
      <w:r w:rsidR="00A91ECF" w:rsidRPr="008C2B82">
        <w:rPr>
          <w:rFonts w:ascii="Arial" w:hAnsi="Arial" w:cs="Arial"/>
        </w:rPr>
        <w:t>,</w:t>
      </w:r>
      <w:r w:rsidRPr="008C2B82">
        <w:rPr>
          <w:rFonts w:ascii="Arial" w:hAnsi="Arial" w:cs="Arial"/>
        </w:rPr>
        <w:t xml:space="preserve"> </w:t>
      </w:r>
      <w:r w:rsidR="00A91ECF" w:rsidRPr="008C2B82">
        <w:rPr>
          <w:rFonts w:ascii="Arial" w:hAnsi="Arial" w:cs="Arial"/>
        </w:rPr>
        <w:t xml:space="preserve">z hlediska </w:t>
      </w:r>
      <w:r w:rsidRPr="008C2B82">
        <w:rPr>
          <w:rFonts w:ascii="Arial" w:hAnsi="Arial" w:cs="Arial"/>
        </w:rPr>
        <w:t xml:space="preserve">stop pěti </w:t>
      </w:r>
      <w:r w:rsidR="003F2F7B" w:rsidRPr="008C2B82">
        <w:rPr>
          <w:rFonts w:ascii="Arial" w:hAnsi="Arial" w:cs="Arial"/>
        </w:rPr>
        <w:t xml:space="preserve">nelegálních </w:t>
      </w:r>
      <w:r w:rsidRPr="008C2B82">
        <w:rPr>
          <w:rFonts w:ascii="Arial" w:hAnsi="Arial" w:cs="Arial"/>
        </w:rPr>
        <w:t>drog: amfetaminu, konopí, kokainu, extáze</w:t>
      </w:r>
      <w:r w:rsidR="00EB475A" w:rsidRPr="008C2B82">
        <w:rPr>
          <w:rFonts w:ascii="Arial" w:hAnsi="Arial" w:cs="Arial"/>
        </w:rPr>
        <w:t xml:space="preserve"> a </w:t>
      </w:r>
      <w:r w:rsidRPr="008C2B82">
        <w:rPr>
          <w:rFonts w:ascii="Arial" w:hAnsi="Arial" w:cs="Arial"/>
        </w:rPr>
        <w:t>metamfetaminu (tisková zpráva 5/2014).</w:t>
      </w:r>
    </w:p>
    <w:p w:rsidR="00D32AF5" w:rsidRPr="008C2B82" w:rsidRDefault="00D32AF5">
      <w:pPr>
        <w:pStyle w:val="newsContent"/>
      </w:pPr>
    </w:p>
    <w:p w:rsidR="00D32AF5" w:rsidRPr="008C2B82" w:rsidRDefault="00880AA6">
      <w:pPr>
        <w:pStyle w:val="newsContent"/>
      </w:pPr>
      <w:r w:rsidRPr="008C2B82">
        <w:t xml:space="preserve">Výsledky poskytují cenný přehled </w:t>
      </w:r>
      <w:r w:rsidR="00A91ECF" w:rsidRPr="008C2B82">
        <w:t xml:space="preserve">toku </w:t>
      </w:r>
      <w:r w:rsidRPr="008C2B82">
        <w:t>drog v</w:t>
      </w:r>
      <w:r w:rsidR="00A91ECF" w:rsidRPr="008C2B82">
        <w:t>e</w:t>
      </w:r>
      <w:r w:rsidRPr="008C2B82">
        <w:t xml:space="preserve"> městech</w:t>
      </w:r>
      <w:r w:rsidR="00EB475A" w:rsidRPr="008C2B82">
        <w:t xml:space="preserve"> </w:t>
      </w:r>
      <w:r w:rsidR="00A91ECF" w:rsidRPr="008C2B82">
        <w:t xml:space="preserve">zahrnutých do projektu </w:t>
      </w:r>
      <w:r w:rsidR="00EB475A" w:rsidRPr="008C2B82">
        <w:t>a </w:t>
      </w:r>
      <w:r w:rsidRPr="008C2B82">
        <w:t xml:space="preserve">ukazují </w:t>
      </w:r>
      <w:r w:rsidR="00A02038" w:rsidRPr="008C2B82">
        <w:t xml:space="preserve">výrazné </w:t>
      </w:r>
      <w:r w:rsidRPr="008C2B82">
        <w:t xml:space="preserve">regionální odchylky ve vzorcích užívání drog. Stopy kokainu byly například </w:t>
      </w:r>
      <w:r w:rsidR="001D6EE0" w:rsidRPr="008C2B82">
        <w:t xml:space="preserve">vyšší </w:t>
      </w:r>
      <w:r w:rsidRPr="008C2B82">
        <w:t>v</w:t>
      </w:r>
      <w:r w:rsidR="00A02038" w:rsidRPr="008C2B82">
        <w:t> západoevropských a</w:t>
      </w:r>
      <w:r w:rsidR="008C2B82" w:rsidRPr="008C2B82">
        <w:t> </w:t>
      </w:r>
      <w:r w:rsidR="00A02038" w:rsidRPr="008C2B82">
        <w:t>některých jihoevropských</w:t>
      </w:r>
      <w:r w:rsidR="00A91ECF" w:rsidRPr="008C2B82">
        <w:t xml:space="preserve"> městech, </w:t>
      </w:r>
      <w:r w:rsidRPr="008C2B82">
        <w:t>a</w:t>
      </w:r>
      <w:r w:rsidR="00A91ECF" w:rsidRPr="008C2B82">
        <w:t>le nižší v</w:t>
      </w:r>
      <w:r w:rsidR="00324C37" w:rsidRPr="008C2B82">
        <w:t> severoevropských a východoevropských</w:t>
      </w:r>
      <w:r w:rsidRPr="008C2B82">
        <w:t xml:space="preserve"> městech. Užívání amfetaminu je sice relativně rovnoměrně rozloženo, nicméně nejvyšší mír</w:t>
      </w:r>
      <w:r w:rsidR="00A91ECF" w:rsidRPr="008C2B82">
        <w:t>a</w:t>
      </w:r>
      <w:r w:rsidRPr="008C2B82">
        <w:t xml:space="preserve"> </w:t>
      </w:r>
      <w:r w:rsidR="00A91ECF" w:rsidRPr="008C2B82">
        <w:t>jeho užívání byla zaznamenána ve městech</w:t>
      </w:r>
      <w:r w:rsidRPr="008C2B82">
        <w:t xml:space="preserve"> na severu a </w:t>
      </w:r>
      <w:r w:rsidR="00324C37" w:rsidRPr="008C2B82">
        <w:t xml:space="preserve">severozápadu </w:t>
      </w:r>
      <w:r w:rsidRPr="008C2B82">
        <w:t xml:space="preserve">Evropy. Zdá se, že se nyní rozšiřuje užívání metamfetaminu, které bývalo obecně malé a tradičně soustředěné ve střední Evropě. </w:t>
      </w:r>
      <w:r w:rsidR="00A91ECF" w:rsidRPr="008C2B82">
        <w:t xml:space="preserve">Pokud jde o </w:t>
      </w:r>
      <w:r w:rsidRPr="008C2B82">
        <w:t xml:space="preserve">zkoumání vzorců užívání drog </w:t>
      </w:r>
      <w:r w:rsidR="00A91ECF" w:rsidRPr="008C2B82">
        <w:t xml:space="preserve">v průběhu týdne, </w:t>
      </w:r>
      <w:r w:rsidRPr="008C2B82">
        <w:t xml:space="preserve">vzrostly ve většině měst o víkendu prudce </w:t>
      </w:r>
      <w:r w:rsidR="00A91ECF" w:rsidRPr="008C2B82">
        <w:t xml:space="preserve">hladiny </w:t>
      </w:r>
      <w:r w:rsidRPr="008C2B82">
        <w:t>kokainu</w:t>
      </w:r>
      <w:r w:rsidR="00EB475A" w:rsidRPr="008C2B82">
        <w:t xml:space="preserve"> a </w:t>
      </w:r>
      <w:r w:rsidRPr="008C2B82">
        <w:t>extáze, zatímco u metamfetaminu</w:t>
      </w:r>
      <w:r w:rsidR="00EB475A" w:rsidRPr="008C2B82">
        <w:t xml:space="preserve"> a </w:t>
      </w:r>
      <w:r w:rsidRPr="008C2B82">
        <w:t xml:space="preserve">konopí se zdá, že je jejich užívání rovnoměrněji </w:t>
      </w:r>
      <w:r w:rsidR="00A02038" w:rsidRPr="008C2B82">
        <w:t xml:space="preserve">rozloženo </w:t>
      </w:r>
      <w:r w:rsidR="00A91ECF" w:rsidRPr="008C2B82">
        <w:t xml:space="preserve">do </w:t>
      </w:r>
      <w:r w:rsidRPr="008C2B82">
        <w:t>celého týdne.</w:t>
      </w:r>
    </w:p>
    <w:p w:rsidR="00D32AF5" w:rsidRPr="008C2B82" w:rsidRDefault="00880AA6">
      <w:pPr>
        <w:spacing w:before="100" w:beforeAutospacing="1"/>
        <w:rPr>
          <w:sz w:val="20"/>
          <w:szCs w:val="20"/>
        </w:rPr>
      </w:pPr>
      <w:r w:rsidRPr="008C2B82">
        <w:rPr>
          <w:rFonts w:ascii="Arial" w:hAnsi="Arial" w:cs="Arial"/>
          <w:b/>
          <w:sz w:val="20"/>
          <w:szCs w:val="20"/>
        </w:rPr>
        <w:t>Předseda správní rady agentury EMCDDA João Goulão</w:t>
      </w:r>
      <w:r w:rsidRPr="008C2B82">
        <w:rPr>
          <w:rFonts w:ascii="Arial" w:hAnsi="Arial" w:cs="Arial"/>
          <w:sz w:val="20"/>
          <w:szCs w:val="20"/>
        </w:rPr>
        <w:t xml:space="preserve"> </w:t>
      </w:r>
      <w:r w:rsidR="00BC449F" w:rsidRPr="008C2B82">
        <w:rPr>
          <w:rFonts w:ascii="Arial" w:hAnsi="Arial" w:cs="Arial"/>
          <w:sz w:val="20"/>
          <w:szCs w:val="20"/>
        </w:rPr>
        <w:t>říká</w:t>
      </w:r>
      <w:r w:rsidRPr="008C2B82">
        <w:rPr>
          <w:rFonts w:ascii="Arial" w:hAnsi="Arial" w:cs="Arial"/>
          <w:sz w:val="20"/>
          <w:szCs w:val="20"/>
        </w:rPr>
        <w:t xml:space="preserve">: „V letošním roce klade agentura EMCDDA důraz na řadu nových výzev, které přinášejí </w:t>
      </w:r>
      <w:r w:rsidR="00BC449F" w:rsidRPr="008C2B82">
        <w:rPr>
          <w:rFonts w:ascii="Arial" w:hAnsi="Arial" w:cs="Arial"/>
          <w:sz w:val="20"/>
          <w:szCs w:val="20"/>
        </w:rPr>
        <w:t xml:space="preserve">stimulancia </w:t>
      </w:r>
      <w:r w:rsidRPr="008C2B82">
        <w:rPr>
          <w:rFonts w:ascii="Arial" w:hAnsi="Arial" w:cs="Arial"/>
          <w:sz w:val="20"/>
          <w:szCs w:val="20"/>
        </w:rPr>
        <w:t xml:space="preserve">a další drogy. Agentura zejména zkoumá </w:t>
      </w:r>
      <w:r w:rsidR="00BC449F" w:rsidRPr="008C2B82">
        <w:rPr>
          <w:rFonts w:ascii="Arial" w:hAnsi="Arial" w:cs="Arial"/>
          <w:sz w:val="20"/>
          <w:szCs w:val="20"/>
        </w:rPr>
        <w:t>vznikající</w:t>
      </w:r>
      <w:r w:rsidRPr="008C2B82">
        <w:rPr>
          <w:rFonts w:ascii="Arial" w:hAnsi="Arial" w:cs="Arial"/>
          <w:sz w:val="20"/>
          <w:szCs w:val="20"/>
        </w:rPr>
        <w:t xml:space="preserve"> a rostoucí </w:t>
      </w:r>
      <w:r w:rsidR="00BC449F" w:rsidRPr="008C2B82">
        <w:rPr>
          <w:rFonts w:ascii="Arial" w:hAnsi="Arial" w:cs="Arial"/>
          <w:sz w:val="20"/>
          <w:szCs w:val="20"/>
        </w:rPr>
        <w:t xml:space="preserve">základnu důkazů s cílem využít ji při </w:t>
      </w:r>
      <w:r w:rsidRPr="008C2B82">
        <w:rPr>
          <w:rFonts w:ascii="Arial" w:hAnsi="Arial" w:cs="Arial"/>
          <w:sz w:val="20"/>
          <w:szCs w:val="20"/>
        </w:rPr>
        <w:t xml:space="preserve">řešení problémů souvisejících s užíváním kokainu, metamfetaminu a konopí. </w:t>
      </w:r>
      <w:r w:rsidR="00BC449F" w:rsidRPr="008C2B82">
        <w:rPr>
          <w:rFonts w:ascii="Arial" w:hAnsi="Arial" w:cs="Arial"/>
          <w:sz w:val="20"/>
          <w:szCs w:val="20"/>
        </w:rPr>
        <w:t>S</w:t>
      </w:r>
      <w:r w:rsidRPr="008C2B82">
        <w:rPr>
          <w:rFonts w:ascii="Arial" w:hAnsi="Arial" w:cs="Arial"/>
          <w:sz w:val="20"/>
          <w:szCs w:val="20"/>
        </w:rPr>
        <w:t xml:space="preserve">polečným prvkem </w:t>
      </w:r>
      <w:r w:rsidR="00BC449F" w:rsidRPr="008C2B82">
        <w:rPr>
          <w:rFonts w:ascii="Arial" w:hAnsi="Arial" w:cs="Arial"/>
          <w:sz w:val="20"/>
          <w:szCs w:val="20"/>
        </w:rPr>
        <w:t xml:space="preserve">řešení těchto problémů je </w:t>
      </w:r>
      <w:r w:rsidRPr="008C2B82">
        <w:rPr>
          <w:rFonts w:ascii="Arial" w:hAnsi="Arial" w:cs="Arial"/>
          <w:sz w:val="20"/>
          <w:szCs w:val="20"/>
        </w:rPr>
        <w:t xml:space="preserve">význam </w:t>
      </w:r>
      <w:r w:rsidR="00BC449F" w:rsidRPr="008C2B82">
        <w:rPr>
          <w:rFonts w:ascii="Arial" w:hAnsi="Arial" w:cs="Arial"/>
          <w:sz w:val="20"/>
          <w:szCs w:val="20"/>
        </w:rPr>
        <w:t xml:space="preserve">přikládaný psychosociálním </w:t>
      </w:r>
      <w:r w:rsidRPr="008C2B82">
        <w:rPr>
          <w:rFonts w:ascii="Arial" w:hAnsi="Arial" w:cs="Arial"/>
          <w:sz w:val="20"/>
          <w:szCs w:val="20"/>
        </w:rPr>
        <w:t>intervencí</w:t>
      </w:r>
      <w:r w:rsidR="00BC449F" w:rsidRPr="008C2B82">
        <w:rPr>
          <w:rFonts w:ascii="Arial" w:hAnsi="Arial" w:cs="Arial"/>
          <w:sz w:val="20"/>
          <w:szCs w:val="20"/>
        </w:rPr>
        <w:t>m</w:t>
      </w:r>
      <w:r w:rsidRPr="008C2B82">
        <w:rPr>
          <w:rFonts w:ascii="Arial" w:hAnsi="Arial" w:cs="Arial"/>
          <w:sz w:val="20"/>
          <w:szCs w:val="20"/>
        </w:rPr>
        <w:t xml:space="preserve">, které představují cennou součást našeho terapeutického souboru nástrojů k řešení </w:t>
      </w:r>
      <w:r w:rsidR="00BC449F" w:rsidRPr="008C2B82">
        <w:rPr>
          <w:rFonts w:ascii="Arial" w:hAnsi="Arial" w:cs="Arial"/>
          <w:sz w:val="20"/>
          <w:szCs w:val="20"/>
        </w:rPr>
        <w:t>současné drogové problematiky</w:t>
      </w:r>
      <w:r w:rsidRPr="008C2B82">
        <w:rPr>
          <w:rFonts w:ascii="Arial" w:hAnsi="Arial" w:cs="Arial"/>
          <w:sz w:val="20"/>
          <w:szCs w:val="20"/>
        </w:rPr>
        <w:t xml:space="preserve">“.  </w:t>
      </w:r>
    </w:p>
    <w:sectPr w:rsidR="00D32AF5" w:rsidRPr="008C2B82" w:rsidSect="00B236A2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276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B7" w:rsidRDefault="001042B7" w:rsidP="009A28FB">
      <w:pPr>
        <w:spacing w:after="0" w:line="240" w:lineRule="auto"/>
      </w:pPr>
      <w:r>
        <w:separator/>
      </w:r>
    </w:p>
  </w:endnote>
  <w:endnote w:type="continuationSeparator" w:id="0">
    <w:p w:rsidR="001042B7" w:rsidRDefault="001042B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15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310"/>
    </w:tblGrid>
    <w:tr w:rsidR="00E0331A" w:rsidTr="00E0331A">
      <w:tc>
        <w:tcPr>
          <w:tcW w:w="8505" w:type="dxa"/>
        </w:tcPr>
        <w:p w:rsidR="00BF1E3B" w:rsidRDefault="00280351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14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DYHIm/EBAAA1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E0331A">
            <w:rPr>
              <w:noProof/>
              <w:lang w:eastAsia="en-GB"/>
            </w:rPr>
            <w:t>Pohledy na drogy — dostupné v angličtině na adrese www.emcdda.europa.eu/edr2014</w:t>
          </w:r>
        </w:p>
      </w:tc>
      <w:tc>
        <w:tcPr>
          <w:tcW w:w="1310" w:type="dxa"/>
          <w:vAlign w:val="bottom"/>
        </w:tcPr>
        <w:p w:rsidR="00BF1E3B" w:rsidRDefault="00BF1E3B" w:rsidP="00C475E1">
          <w:pPr>
            <w:pStyle w:val="newsReference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182C5A" w:rsidRDefault="00182C5A" w:rsidP="00182C5A">
          <w:pPr>
            <w:pStyle w:val="newsCoordinates"/>
          </w:pPr>
          <w:r w:rsidRPr="00944227">
            <w:t xml:space="preserve">Kontakt: </w:t>
          </w:r>
          <w:proofErr w:type="spellStart"/>
          <w:r w:rsidRPr="00944227">
            <w:t>Kathy</w:t>
          </w:r>
          <w:proofErr w:type="spellEnd"/>
          <w:r w:rsidRPr="00944227">
            <w:t xml:space="preserve"> </w:t>
          </w:r>
          <w:proofErr w:type="spellStart"/>
          <w:r w:rsidRPr="00944227">
            <w:t>Robertson</w:t>
          </w:r>
          <w:proofErr w:type="spellEnd"/>
          <w:r w:rsidRPr="00944227">
            <w:t>, tisková mluvčí</w:t>
          </w:r>
          <w:r w:rsidR="00280351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7456" behindDoc="1" locked="0" layoutInCell="1" allowOverlap="1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>
            <w:t xml:space="preserve"> </w:t>
          </w:r>
        </w:p>
        <w:p w:rsidR="00182C5A" w:rsidRDefault="00182C5A" w:rsidP="00182C5A">
          <w:pPr>
            <w:pStyle w:val="newsCoordinates"/>
          </w:pPr>
          <w:proofErr w:type="spellStart"/>
          <w:r w:rsidRPr="00944227">
            <w:t>Praça</w:t>
          </w:r>
          <w:proofErr w:type="spellEnd"/>
          <w:r w:rsidRPr="00944227">
            <w:t xml:space="preserve"> Europa 1, Cais do </w:t>
          </w:r>
          <w:proofErr w:type="spellStart"/>
          <w:r w:rsidRPr="00944227">
            <w:t>Sodré</w:t>
          </w:r>
          <w:proofErr w:type="spellEnd"/>
          <w:r w:rsidRPr="00944227">
            <w:t>, 1249-289 Lisabon, Portugalsko</w:t>
          </w:r>
        </w:p>
        <w:p w:rsidR="0063677C" w:rsidRDefault="00182C5A" w:rsidP="00182C5A">
          <w:pPr>
            <w:pStyle w:val="newsCoordinates"/>
          </w:pPr>
          <w:r w:rsidRPr="00944227">
            <w:t>Tel. (351) 211 21 02 00</w:t>
          </w:r>
          <w:r>
            <w:t xml:space="preserve">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182C5A" w:rsidP="00C475E1">
          <w:pPr>
            <w:pStyle w:val="newsReference"/>
          </w:pPr>
          <w:r>
            <w:t>CS</w:t>
          </w:r>
          <w:r w:rsidR="0063677C" w:rsidRPr="00FC0187">
            <w:t xml:space="preserve"> — č. 4/2014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B7" w:rsidRDefault="001042B7" w:rsidP="009A28FB">
      <w:pPr>
        <w:spacing w:after="0" w:line="240" w:lineRule="auto"/>
      </w:pPr>
      <w:r>
        <w:separator/>
      </w:r>
    </w:p>
  </w:footnote>
  <w:footnote w:type="continuationSeparator" w:id="0">
    <w:p w:rsidR="001042B7" w:rsidRDefault="001042B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280351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1312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5869C3">
            <w:rPr>
              <w:noProof/>
              <w:lang w:eastAsia="en-GB"/>
            </w:rPr>
            <w:t xml:space="preserve">Pohledy na drogy </w:t>
          </w:r>
          <w:r w:rsidR="00BF1E3B" w:rsidRPr="00CC4FDA">
            <w:rPr>
              <w:noProof/>
              <w:sz w:val="18"/>
              <w:lang w:eastAsia="en-GB"/>
            </w:rPr>
            <w:t>I</w:t>
          </w:r>
          <w:r w:rsidR="00BF1E3B" w:rsidRPr="00CC4FDA">
            <w:rPr>
              <w:b/>
              <w:noProof/>
              <w:color w:val="003399"/>
              <w:lang w:eastAsia="en-GB"/>
            </w:rPr>
            <w:t xml:space="preserve"> </w:t>
          </w:r>
          <w:r w:rsidR="00937A98" w:rsidRPr="00937A98">
            <w:rPr>
              <w:b/>
              <w:noProof/>
              <w:color w:val="FF0000"/>
              <w:lang w:eastAsia="en-GB"/>
            </w:rPr>
            <w:t>EMBARGO do 10:00 ZEČ / lisabonského času</w:t>
          </w:r>
        </w:p>
      </w:tc>
      <w:tc>
        <w:tcPr>
          <w:tcW w:w="3294" w:type="dxa"/>
          <w:vAlign w:val="bottom"/>
        </w:tcPr>
        <w:p w:rsidR="00BF1E3B" w:rsidRDefault="0041405E" w:rsidP="00C475E1">
          <w:pPr>
            <w:pStyle w:val="newsReference"/>
          </w:pPr>
          <w:r>
            <w:t>27.5.2014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32D"/>
    <w:multiLevelType w:val="hybridMultilevel"/>
    <w:tmpl w:val="B8A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3971"/>
    <w:multiLevelType w:val="hybridMultilevel"/>
    <w:tmpl w:val="E53A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F099F"/>
    <w:multiLevelType w:val="hybridMultilevel"/>
    <w:tmpl w:val="B2B8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A4A56"/>
    <w:multiLevelType w:val="hybridMultilevel"/>
    <w:tmpl w:val="8A3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C3A3B"/>
    <w:multiLevelType w:val="hybridMultilevel"/>
    <w:tmpl w:val="9BE8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9C"/>
    <w:rsid w:val="000007AF"/>
    <w:rsid w:val="00014E8E"/>
    <w:rsid w:val="00023062"/>
    <w:rsid w:val="00036DAA"/>
    <w:rsid w:val="000535B7"/>
    <w:rsid w:val="00056C51"/>
    <w:rsid w:val="000607B9"/>
    <w:rsid w:val="00066C5C"/>
    <w:rsid w:val="00067DD3"/>
    <w:rsid w:val="00080F9B"/>
    <w:rsid w:val="00096D99"/>
    <w:rsid w:val="000C6200"/>
    <w:rsid w:val="000C77EB"/>
    <w:rsid w:val="000D09FC"/>
    <w:rsid w:val="000D5E92"/>
    <w:rsid w:val="000F0289"/>
    <w:rsid w:val="001042B7"/>
    <w:rsid w:val="00105BFC"/>
    <w:rsid w:val="00107C96"/>
    <w:rsid w:val="00116AD1"/>
    <w:rsid w:val="00130564"/>
    <w:rsid w:val="00147EC6"/>
    <w:rsid w:val="00164CB4"/>
    <w:rsid w:val="00167D76"/>
    <w:rsid w:val="0017713E"/>
    <w:rsid w:val="001800D0"/>
    <w:rsid w:val="001801D4"/>
    <w:rsid w:val="00182C5A"/>
    <w:rsid w:val="00183B99"/>
    <w:rsid w:val="001848B8"/>
    <w:rsid w:val="00187B93"/>
    <w:rsid w:val="00191616"/>
    <w:rsid w:val="00194231"/>
    <w:rsid w:val="001A3338"/>
    <w:rsid w:val="001B0A3C"/>
    <w:rsid w:val="001B74EB"/>
    <w:rsid w:val="001C05A8"/>
    <w:rsid w:val="001C795A"/>
    <w:rsid w:val="001D179B"/>
    <w:rsid w:val="001D2AA5"/>
    <w:rsid w:val="001D5C26"/>
    <w:rsid w:val="001D6EE0"/>
    <w:rsid w:val="001E4544"/>
    <w:rsid w:val="001F70B4"/>
    <w:rsid w:val="00216D75"/>
    <w:rsid w:val="00222852"/>
    <w:rsid w:val="00223753"/>
    <w:rsid w:val="00231487"/>
    <w:rsid w:val="0024165C"/>
    <w:rsid w:val="002419E2"/>
    <w:rsid w:val="0025570D"/>
    <w:rsid w:val="002557B0"/>
    <w:rsid w:val="00257357"/>
    <w:rsid w:val="002646E4"/>
    <w:rsid w:val="00270DB1"/>
    <w:rsid w:val="0027252D"/>
    <w:rsid w:val="00274794"/>
    <w:rsid w:val="00276B02"/>
    <w:rsid w:val="00280351"/>
    <w:rsid w:val="0028141E"/>
    <w:rsid w:val="002948E2"/>
    <w:rsid w:val="002A4C05"/>
    <w:rsid w:val="002A61F7"/>
    <w:rsid w:val="002B05CE"/>
    <w:rsid w:val="002B45AC"/>
    <w:rsid w:val="002C02C3"/>
    <w:rsid w:val="002C04F0"/>
    <w:rsid w:val="002D0144"/>
    <w:rsid w:val="002D171F"/>
    <w:rsid w:val="002D791D"/>
    <w:rsid w:val="002D7EE3"/>
    <w:rsid w:val="002E4882"/>
    <w:rsid w:val="00303D0F"/>
    <w:rsid w:val="00324C37"/>
    <w:rsid w:val="0033158E"/>
    <w:rsid w:val="0033159F"/>
    <w:rsid w:val="00332C2A"/>
    <w:rsid w:val="00333460"/>
    <w:rsid w:val="00334C24"/>
    <w:rsid w:val="00337ECC"/>
    <w:rsid w:val="00343933"/>
    <w:rsid w:val="00343ECE"/>
    <w:rsid w:val="00351C0D"/>
    <w:rsid w:val="0036121D"/>
    <w:rsid w:val="00362443"/>
    <w:rsid w:val="00387D02"/>
    <w:rsid w:val="0039134B"/>
    <w:rsid w:val="003A0766"/>
    <w:rsid w:val="003B41B1"/>
    <w:rsid w:val="003C0395"/>
    <w:rsid w:val="003C194C"/>
    <w:rsid w:val="003C5F39"/>
    <w:rsid w:val="003C6AF1"/>
    <w:rsid w:val="003D6508"/>
    <w:rsid w:val="003E7D6C"/>
    <w:rsid w:val="003F2F7B"/>
    <w:rsid w:val="004137B0"/>
    <w:rsid w:val="0041405E"/>
    <w:rsid w:val="004221D3"/>
    <w:rsid w:val="004378E7"/>
    <w:rsid w:val="0044111C"/>
    <w:rsid w:val="00445080"/>
    <w:rsid w:val="0045468D"/>
    <w:rsid w:val="00482CE8"/>
    <w:rsid w:val="00484049"/>
    <w:rsid w:val="004847FB"/>
    <w:rsid w:val="00491D27"/>
    <w:rsid w:val="004A4982"/>
    <w:rsid w:val="004C3028"/>
    <w:rsid w:val="004D6E0C"/>
    <w:rsid w:val="004E1E22"/>
    <w:rsid w:val="004F2825"/>
    <w:rsid w:val="00506DF4"/>
    <w:rsid w:val="00511C15"/>
    <w:rsid w:val="005153AE"/>
    <w:rsid w:val="005162AE"/>
    <w:rsid w:val="00520EF1"/>
    <w:rsid w:val="00542CEE"/>
    <w:rsid w:val="00545BD5"/>
    <w:rsid w:val="00555226"/>
    <w:rsid w:val="00557FD9"/>
    <w:rsid w:val="005869C3"/>
    <w:rsid w:val="00587E09"/>
    <w:rsid w:val="005933EF"/>
    <w:rsid w:val="005944A5"/>
    <w:rsid w:val="005A0A5F"/>
    <w:rsid w:val="005A0DC8"/>
    <w:rsid w:val="005B05A0"/>
    <w:rsid w:val="005B0882"/>
    <w:rsid w:val="005B1B63"/>
    <w:rsid w:val="005C13BA"/>
    <w:rsid w:val="005C4033"/>
    <w:rsid w:val="005C7C2F"/>
    <w:rsid w:val="005D327B"/>
    <w:rsid w:val="005D6F50"/>
    <w:rsid w:val="005E3A14"/>
    <w:rsid w:val="00610C38"/>
    <w:rsid w:val="006116D9"/>
    <w:rsid w:val="00623A55"/>
    <w:rsid w:val="00623B75"/>
    <w:rsid w:val="006261FA"/>
    <w:rsid w:val="0063677C"/>
    <w:rsid w:val="00666A63"/>
    <w:rsid w:val="00671508"/>
    <w:rsid w:val="00685D83"/>
    <w:rsid w:val="00686810"/>
    <w:rsid w:val="006A448F"/>
    <w:rsid w:val="006B322F"/>
    <w:rsid w:val="006D2DB3"/>
    <w:rsid w:val="006D6B82"/>
    <w:rsid w:val="006E4E7A"/>
    <w:rsid w:val="006E67B1"/>
    <w:rsid w:val="00705E3A"/>
    <w:rsid w:val="00730132"/>
    <w:rsid w:val="007334CA"/>
    <w:rsid w:val="00763D1D"/>
    <w:rsid w:val="00770443"/>
    <w:rsid w:val="00773814"/>
    <w:rsid w:val="00774992"/>
    <w:rsid w:val="007819C2"/>
    <w:rsid w:val="00791F09"/>
    <w:rsid w:val="00794D59"/>
    <w:rsid w:val="007B0E01"/>
    <w:rsid w:val="007B0E03"/>
    <w:rsid w:val="007B1CCD"/>
    <w:rsid w:val="007B3FA7"/>
    <w:rsid w:val="007C2F46"/>
    <w:rsid w:val="007E5DE3"/>
    <w:rsid w:val="00806A62"/>
    <w:rsid w:val="00813FB5"/>
    <w:rsid w:val="00816BF3"/>
    <w:rsid w:val="008179C1"/>
    <w:rsid w:val="008301BA"/>
    <w:rsid w:val="00841E86"/>
    <w:rsid w:val="00853EEA"/>
    <w:rsid w:val="00861860"/>
    <w:rsid w:val="00870194"/>
    <w:rsid w:val="00880AA6"/>
    <w:rsid w:val="00881730"/>
    <w:rsid w:val="008B0F13"/>
    <w:rsid w:val="008C0886"/>
    <w:rsid w:val="008C1172"/>
    <w:rsid w:val="008C1B06"/>
    <w:rsid w:val="008C2B82"/>
    <w:rsid w:val="008C6C93"/>
    <w:rsid w:val="008D4910"/>
    <w:rsid w:val="008D54B3"/>
    <w:rsid w:val="008E6E3C"/>
    <w:rsid w:val="008F177B"/>
    <w:rsid w:val="008F399E"/>
    <w:rsid w:val="00902300"/>
    <w:rsid w:val="00913325"/>
    <w:rsid w:val="009267B0"/>
    <w:rsid w:val="0092719C"/>
    <w:rsid w:val="00937A98"/>
    <w:rsid w:val="00944CBD"/>
    <w:rsid w:val="00955F0C"/>
    <w:rsid w:val="00965C26"/>
    <w:rsid w:val="00974A27"/>
    <w:rsid w:val="00976432"/>
    <w:rsid w:val="009A28FB"/>
    <w:rsid w:val="009B1A9F"/>
    <w:rsid w:val="009B54F2"/>
    <w:rsid w:val="009D54D0"/>
    <w:rsid w:val="009D6255"/>
    <w:rsid w:val="009D7B7D"/>
    <w:rsid w:val="009F2DE5"/>
    <w:rsid w:val="009F3D99"/>
    <w:rsid w:val="009F4FB0"/>
    <w:rsid w:val="00A01AF8"/>
    <w:rsid w:val="00A02038"/>
    <w:rsid w:val="00A0788A"/>
    <w:rsid w:val="00A136AA"/>
    <w:rsid w:val="00A15FDF"/>
    <w:rsid w:val="00A16B77"/>
    <w:rsid w:val="00A1756B"/>
    <w:rsid w:val="00A22173"/>
    <w:rsid w:val="00A3020E"/>
    <w:rsid w:val="00A311EF"/>
    <w:rsid w:val="00A3254D"/>
    <w:rsid w:val="00A346AF"/>
    <w:rsid w:val="00A34B14"/>
    <w:rsid w:val="00A44BE6"/>
    <w:rsid w:val="00A519DC"/>
    <w:rsid w:val="00A650B5"/>
    <w:rsid w:val="00A661E2"/>
    <w:rsid w:val="00A662A3"/>
    <w:rsid w:val="00A71949"/>
    <w:rsid w:val="00A74389"/>
    <w:rsid w:val="00A841A9"/>
    <w:rsid w:val="00A856B7"/>
    <w:rsid w:val="00A91ECF"/>
    <w:rsid w:val="00AA15DA"/>
    <w:rsid w:val="00AA5155"/>
    <w:rsid w:val="00AA584A"/>
    <w:rsid w:val="00AB1FD1"/>
    <w:rsid w:val="00AD5305"/>
    <w:rsid w:val="00AD7BFC"/>
    <w:rsid w:val="00AE093C"/>
    <w:rsid w:val="00AE1738"/>
    <w:rsid w:val="00AF13B3"/>
    <w:rsid w:val="00AF259D"/>
    <w:rsid w:val="00AF2696"/>
    <w:rsid w:val="00B00D4D"/>
    <w:rsid w:val="00B11A35"/>
    <w:rsid w:val="00B11B73"/>
    <w:rsid w:val="00B11EB3"/>
    <w:rsid w:val="00B11F96"/>
    <w:rsid w:val="00B13F14"/>
    <w:rsid w:val="00B236A2"/>
    <w:rsid w:val="00B272F1"/>
    <w:rsid w:val="00B27941"/>
    <w:rsid w:val="00B33AAA"/>
    <w:rsid w:val="00B458EB"/>
    <w:rsid w:val="00B460E8"/>
    <w:rsid w:val="00B50AB8"/>
    <w:rsid w:val="00B51E08"/>
    <w:rsid w:val="00B57464"/>
    <w:rsid w:val="00B61036"/>
    <w:rsid w:val="00B72DD3"/>
    <w:rsid w:val="00B7335C"/>
    <w:rsid w:val="00B939A6"/>
    <w:rsid w:val="00B97BC5"/>
    <w:rsid w:val="00BA1B63"/>
    <w:rsid w:val="00BA4DD0"/>
    <w:rsid w:val="00BB2517"/>
    <w:rsid w:val="00BB5B77"/>
    <w:rsid w:val="00BB60CF"/>
    <w:rsid w:val="00BC449F"/>
    <w:rsid w:val="00BE21A0"/>
    <w:rsid w:val="00BE4E06"/>
    <w:rsid w:val="00BF0C8C"/>
    <w:rsid w:val="00BF1E3B"/>
    <w:rsid w:val="00BF4CCB"/>
    <w:rsid w:val="00C02367"/>
    <w:rsid w:val="00C36BC1"/>
    <w:rsid w:val="00C475E1"/>
    <w:rsid w:val="00C479D0"/>
    <w:rsid w:val="00C57DE6"/>
    <w:rsid w:val="00C61BE2"/>
    <w:rsid w:val="00C628C4"/>
    <w:rsid w:val="00C63254"/>
    <w:rsid w:val="00C6413B"/>
    <w:rsid w:val="00C67BFD"/>
    <w:rsid w:val="00C75D9C"/>
    <w:rsid w:val="00C874C0"/>
    <w:rsid w:val="00CA2FF5"/>
    <w:rsid w:val="00CA6F07"/>
    <w:rsid w:val="00CA704F"/>
    <w:rsid w:val="00CB1D9D"/>
    <w:rsid w:val="00CB49DA"/>
    <w:rsid w:val="00CB530F"/>
    <w:rsid w:val="00CB6871"/>
    <w:rsid w:val="00CC1F19"/>
    <w:rsid w:val="00CC4FDA"/>
    <w:rsid w:val="00CC53AD"/>
    <w:rsid w:val="00CC6A8B"/>
    <w:rsid w:val="00CC7AB9"/>
    <w:rsid w:val="00CC7E71"/>
    <w:rsid w:val="00CE1BE7"/>
    <w:rsid w:val="00CF4EBF"/>
    <w:rsid w:val="00CF6944"/>
    <w:rsid w:val="00D00C7E"/>
    <w:rsid w:val="00D01335"/>
    <w:rsid w:val="00D03EC6"/>
    <w:rsid w:val="00D06C03"/>
    <w:rsid w:val="00D1526C"/>
    <w:rsid w:val="00D23EB6"/>
    <w:rsid w:val="00D261DF"/>
    <w:rsid w:val="00D27287"/>
    <w:rsid w:val="00D32AF5"/>
    <w:rsid w:val="00D3312B"/>
    <w:rsid w:val="00D37865"/>
    <w:rsid w:val="00D45200"/>
    <w:rsid w:val="00D508E2"/>
    <w:rsid w:val="00D57367"/>
    <w:rsid w:val="00D57F95"/>
    <w:rsid w:val="00D646CB"/>
    <w:rsid w:val="00D66EBE"/>
    <w:rsid w:val="00D74AB2"/>
    <w:rsid w:val="00D84AE3"/>
    <w:rsid w:val="00D92A34"/>
    <w:rsid w:val="00DC0CD9"/>
    <w:rsid w:val="00DC7F1E"/>
    <w:rsid w:val="00DD1E75"/>
    <w:rsid w:val="00DD3BCD"/>
    <w:rsid w:val="00DD3DB5"/>
    <w:rsid w:val="00DD500F"/>
    <w:rsid w:val="00DD6346"/>
    <w:rsid w:val="00DF1D81"/>
    <w:rsid w:val="00DF3987"/>
    <w:rsid w:val="00DF7C96"/>
    <w:rsid w:val="00E001FE"/>
    <w:rsid w:val="00E0331A"/>
    <w:rsid w:val="00E15F0B"/>
    <w:rsid w:val="00E16F24"/>
    <w:rsid w:val="00E232DE"/>
    <w:rsid w:val="00E35A89"/>
    <w:rsid w:val="00E413AC"/>
    <w:rsid w:val="00E57C9D"/>
    <w:rsid w:val="00E66CCD"/>
    <w:rsid w:val="00E81F3D"/>
    <w:rsid w:val="00E83FC3"/>
    <w:rsid w:val="00E86B71"/>
    <w:rsid w:val="00E90C3C"/>
    <w:rsid w:val="00E92255"/>
    <w:rsid w:val="00E9414F"/>
    <w:rsid w:val="00EB475A"/>
    <w:rsid w:val="00EB4F0D"/>
    <w:rsid w:val="00EB62E7"/>
    <w:rsid w:val="00ED1218"/>
    <w:rsid w:val="00EE23CC"/>
    <w:rsid w:val="00F022E8"/>
    <w:rsid w:val="00F04FA4"/>
    <w:rsid w:val="00F06CDE"/>
    <w:rsid w:val="00F07CDA"/>
    <w:rsid w:val="00F15F1E"/>
    <w:rsid w:val="00F21CA9"/>
    <w:rsid w:val="00F231DD"/>
    <w:rsid w:val="00F24096"/>
    <w:rsid w:val="00F27A66"/>
    <w:rsid w:val="00F414EF"/>
    <w:rsid w:val="00F47542"/>
    <w:rsid w:val="00F557D0"/>
    <w:rsid w:val="00F73AA5"/>
    <w:rsid w:val="00F75259"/>
    <w:rsid w:val="00F848E5"/>
    <w:rsid w:val="00FA6659"/>
    <w:rsid w:val="00FB1D61"/>
    <w:rsid w:val="00FB351B"/>
    <w:rsid w:val="00FB4DAF"/>
    <w:rsid w:val="00FC0187"/>
    <w:rsid w:val="00FC3652"/>
    <w:rsid w:val="00FC66C4"/>
    <w:rsid w:val="00FD228B"/>
    <w:rsid w:val="00FD7B6F"/>
    <w:rsid w:val="00FE3721"/>
    <w:rsid w:val="00FE4789"/>
    <w:rsid w:val="00FE5BA6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37A98"/>
    <w:pPr>
      <w:tabs>
        <w:tab w:val="left" w:pos="5205"/>
      </w:tabs>
      <w:spacing w:before="240" w:after="112" w:line="18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50AB8"/>
    <w:pPr>
      <w:spacing w:after="300" w:line="300" w:lineRule="exact"/>
      <w:jc w:val="both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A519DC"/>
    <w:pPr>
      <w:spacing w:after="0" w:line="260" w:lineRule="exact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475E1"/>
    <w:pPr>
      <w:spacing w:after="0" w:line="200" w:lineRule="exact"/>
      <w:ind w:left="1819" w:hanging="425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A519DC"/>
    <w:rPr>
      <w:rFonts w:ascii="Arial" w:hAnsi="Arial" w:cs="Arial"/>
      <w:color w:val="000000" w:themeColor="text1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b w:val="0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b w:val="0"/>
      <w:color w:val="000000" w:themeColor="text1"/>
      <w:sz w:val="17"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6261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5E9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5E9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6E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7B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7A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AB9"/>
    <w:rPr>
      <w:b/>
      <w:bCs/>
      <w:sz w:val="20"/>
      <w:szCs w:val="20"/>
    </w:rPr>
  </w:style>
  <w:style w:type="paragraph" w:customStyle="1" w:styleId="newscontent0">
    <w:name w:val="newscontent"/>
    <w:basedOn w:val="Normal"/>
    <w:rsid w:val="00DD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C449F"/>
    <w:pPr>
      <w:spacing w:after="0" w:line="240" w:lineRule="auto"/>
    </w:pPr>
  </w:style>
  <w:style w:type="character" w:customStyle="1" w:styleId="hps">
    <w:name w:val="hps"/>
    <w:basedOn w:val="DefaultParagraphFont"/>
    <w:rsid w:val="00D57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37A98"/>
    <w:pPr>
      <w:tabs>
        <w:tab w:val="left" w:pos="5205"/>
      </w:tabs>
      <w:spacing w:before="240" w:after="112" w:line="18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50AB8"/>
    <w:pPr>
      <w:spacing w:after="300" w:line="300" w:lineRule="exact"/>
      <w:jc w:val="both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A519DC"/>
    <w:pPr>
      <w:spacing w:after="0" w:line="260" w:lineRule="exact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475E1"/>
    <w:pPr>
      <w:spacing w:after="0" w:line="200" w:lineRule="exact"/>
      <w:ind w:left="1819" w:hanging="425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A519DC"/>
    <w:rPr>
      <w:rFonts w:ascii="Arial" w:hAnsi="Arial" w:cs="Arial"/>
      <w:color w:val="000000" w:themeColor="text1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b w:val="0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b w:val="0"/>
      <w:color w:val="000000" w:themeColor="text1"/>
      <w:sz w:val="17"/>
      <w:szCs w:val="20"/>
      <w:vertAlign w:val="superscript"/>
    </w:rPr>
  </w:style>
  <w:style w:type="paragraph" w:styleId="ListParagraph">
    <w:name w:val="List Paragraph"/>
    <w:basedOn w:val="Normal"/>
    <w:uiPriority w:val="34"/>
    <w:qFormat/>
    <w:rsid w:val="006261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5E9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5E9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6E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7B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7A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AB9"/>
    <w:rPr>
      <w:b/>
      <w:bCs/>
      <w:sz w:val="20"/>
      <w:szCs w:val="20"/>
    </w:rPr>
  </w:style>
  <w:style w:type="paragraph" w:customStyle="1" w:styleId="newscontent0">
    <w:name w:val="newscontent"/>
    <w:basedOn w:val="Normal"/>
    <w:rsid w:val="00DD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C449F"/>
    <w:pPr>
      <w:spacing w:after="0" w:line="240" w:lineRule="auto"/>
    </w:pPr>
  </w:style>
  <w:style w:type="character" w:customStyle="1" w:styleId="hps">
    <w:name w:val="hps"/>
    <w:basedOn w:val="DefaultParagraphFont"/>
    <w:rsid w:val="00D5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FFD0-8DA8-42A7-A866-855B2127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News release EN</vt:lpstr>
      <vt:lpstr>News release EN</vt:lpstr>
    </vt:vector>
  </TitlesOfParts>
  <Company>Translation Centre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Translation Centre</dc:creator>
  <cp:lastModifiedBy>Kathryn Robertson</cp:lastModifiedBy>
  <cp:revision>4</cp:revision>
  <cp:lastPrinted>2014-05-14T10:29:00Z</cp:lastPrinted>
  <dcterms:created xsi:type="dcterms:W3CDTF">2014-05-21T13:35:00Z</dcterms:created>
  <dcterms:modified xsi:type="dcterms:W3CDTF">2014-05-22T08:55:00Z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