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70" w:rightFromText="170" w:vertAnchor="page" w:horzAnchor="margin" w:tblpXSpec="center" w:tblpY="710"/>
        <w:tblW w:w="5615" w:type="pct"/>
        <w:tblLayout w:type="fixed"/>
        <w:tblCellMar>
          <w:left w:w="142" w:type="dxa"/>
          <w:right w:w="0" w:type="dxa"/>
        </w:tblCellMar>
        <w:tblLook w:val="0080" w:firstRow="0" w:lastRow="0" w:firstColumn="1" w:lastColumn="0" w:noHBand="0" w:noVBand="0"/>
      </w:tblPr>
      <w:tblGrid>
        <w:gridCol w:w="4972"/>
        <w:gridCol w:w="5692"/>
      </w:tblGrid>
      <w:tr w:rsidR="00CF44B3" w:rsidRPr="00675BEA" w:rsidTr="00675BEA">
        <w:trPr>
          <w:trHeight w:val="1695"/>
        </w:trPr>
        <w:tc>
          <w:tcPr>
            <w:tcW w:w="2331" w:type="pct"/>
          </w:tcPr>
          <w:p w:rsidR="00CF44B3" w:rsidRPr="00675BEA" w:rsidRDefault="006956AB" w:rsidP="00675BEA">
            <w:pPr>
              <w:spacing w:after="0" w:line="240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799080" cy="612140"/>
                  <wp:effectExtent l="0" t="0" r="127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08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CF44B3" w:rsidRPr="00675BEA" w:rsidRDefault="00CF44B3" w:rsidP="00675BEA">
            <w:pPr>
              <w:spacing w:after="0" w:line="240" w:lineRule="auto"/>
            </w:pPr>
          </w:p>
        </w:tc>
      </w:tr>
    </w:tbl>
    <w:p w:rsidR="00110D4B" w:rsidRPr="00110D4B" w:rsidRDefault="00110D4B" w:rsidP="00110D4B">
      <w:pPr>
        <w:spacing w:after="0"/>
        <w:rPr>
          <w:vanish/>
        </w:rPr>
      </w:pPr>
    </w:p>
    <w:tbl>
      <w:tblPr>
        <w:tblW w:w="12796" w:type="dxa"/>
        <w:tblInd w:w="-127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796"/>
      </w:tblGrid>
      <w:tr w:rsidR="00CF44B3" w:rsidRPr="00675BEA" w:rsidTr="00675BEA">
        <w:trPr>
          <w:trHeight w:val="1304"/>
        </w:trPr>
        <w:tc>
          <w:tcPr>
            <w:tcW w:w="12796" w:type="dxa"/>
            <w:vAlign w:val="bottom"/>
          </w:tcPr>
          <w:p w:rsidR="00CF44B3" w:rsidRPr="00675BEA" w:rsidRDefault="006956AB" w:rsidP="00675BEA">
            <w:pPr>
              <w:spacing w:after="0" w:line="240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7553960" cy="922655"/>
                  <wp:effectExtent l="0" t="0" r="8890" b="0"/>
                  <wp:docPr id="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960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4B3" w:rsidRDefault="00CF44B3">
      <w:pPr>
        <w:pStyle w:val="newsTitle"/>
        <w:rPr>
          <w:b/>
        </w:rPr>
      </w:pPr>
      <w:r>
        <w:t xml:space="preserve">Europäischer Drogenbericht 2014 — Drogenperspektiven </w:t>
      </w:r>
    </w:p>
    <w:p w:rsidR="00CF44B3" w:rsidRPr="00FB0566" w:rsidRDefault="00CF44B3">
      <w:pPr>
        <w:pStyle w:val="newsSubTitle"/>
        <w:rPr>
          <w:sz w:val="26"/>
          <w:szCs w:val="26"/>
        </w:rPr>
      </w:pPr>
      <w:r w:rsidRPr="00FB0566">
        <w:rPr>
          <w:sz w:val="26"/>
          <w:szCs w:val="26"/>
        </w:rPr>
        <w:t>Die EU-Drogenbeobachtungsstelle rückt sechs Themen mit neuen Online-Analysen in den Mittelpunkt</w:t>
      </w:r>
    </w:p>
    <w:p w:rsidR="00CF44B3" w:rsidRDefault="00CF44B3">
      <w:pPr>
        <w:pStyle w:val="newsContent"/>
      </w:pPr>
      <w:r>
        <w:t xml:space="preserve">(27.5.2014, LISSABON </w:t>
      </w:r>
      <w:r w:rsidRPr="00320A90">
        <w:rPr>
          <w:b/>
          <w:color w:val="FF0000"/>
        </w:rPr>
        <w:t>GESPERRT bis 10</w:t>
      </w:r>
      <w:r w:rsidR="000F64A4" w:rsidRPr="00320A90">
        <w:rPr>
          <w:b/>
          <w:color w:val="FF0000"/>
        </w:rPr>
        <w:t> Uhr</w:t>
      </w:r>
      <w:r w:rsidRPr="00320A90">
        <w:rPr>
          <w:b/>
          <w:color w:val="FF0000"/>
        </w:rPr>
        <w:t xml:space="preserve"> WE</w:t>
      </w:r>
      <w:r w:rsidR="000F64A4" w:rsidRPr="00320A90">
        <w:rPr>
          <w:b/>
          <w:color w:val="FF0000"/>
        </w:rPr>
        <w:t>Z</w:t>
      </w:r>
      <w:r w:rsidRPr="00320A90">
        <w:rPr>
          <w:b/>
          <w:color w:val="FF0000"/>
        </w:rPr>
        <w:t>/Lissaboner Zeit</w:t>
      </w:r>
      <w:r>
        <w:t xml:space="preserve">) Die </w:t>
      </w:r>
      <w:r>
        <w:rPr>
          <w:b/>
        </w:rPr>
        <w:t>EU-Drogenbeobachtungs</w:t>
      </w:r>
      <w:r w:rsidR="00FB0566">
        <w:rPr>
          <w:b/>
        </w:rPr>
        <w:softHyphen/>
      </w:r>
      <w:r>
        <w:rPr>
          <w:b/>
        </w:rPr>
        <w:t>stelle (EMCDDA)</w:t>
      </w:r>
      <w:r>
        <w:t xml:space="preserve"> veröffentlicht heute neben ihrem </w:t>
      </w:r>
      <w:r>
        <w:rPr>
          <w:b/>
          <w:i/>
        </w:rPr>
        <w:t>Europäischen Drogenbericht 2014: Trends und Entwicklungen</w:t>
      </w:r>
      <w:r>
        <w:t xml:space="preserve"> sechs neue Ergänzungen zu ihrer Serie </w:t>
      </w:r>
      <w:r>
        <w:rPr>
          <w:b/>
        </w:rPr>
        <w:t>Drogenperspektiven</w:t>
      </w:r>
      <w:r>
        <w:t xml:space="preserve"> (</w:t>
      </w:r>
      <w:r>
        <w:rPr>
          <w:i/>
        </w:rPr>
        <w:t>Perspectives on drugs</w:t>
      </w:r>
      <w:r>
        <w:t xml:space="preserve">, PODs). Diese neueste Auswahl interaktiver Online-Analysen sorgt für einen aktuellen Überblick nach neuestem Erkenntnisstand über wichtige Aspekte der </w:t>
      </w:r>
      <w:r w:rsidR="00FE4D0C">
        <w:t>e</w:t>
      </w:r>
      <w:r>
        <w:t xml:space="preserve">uropäischen Drogensituation. </w:t>
      </w:r>
      <w:r w:rsidR="000F64A4">
        <w:t xml:space="preserve">In den </w:t>
      </w:r>
      <w:r>
        <w:t xml:space="preserve">PODs </w:t>
      </w:r>
      <w:r w:rsidR="000F64A4">
        <w:t xml:space="preserve">werden </w:t>
      </w:r>
      <w:r>
        <w:t>neu</w:t>
      </w:r>
      <w:r w:rsidR="003762FE">
        <w:t>e</w:t>
      </w:r>
      <w:r>
        <w:t xml:space="preserve"> Bedenken hinsichtlich des Konsums von Stimulanzien, neue Entwicklungen auf dem europäischen Cannabis-M</w:t>
      </w:r>
      <w:r w:rsidR="00E86145">
        <w:t>arkt sowie Fortschritte in der i</w:t>
      </w:r>
      <w:r>
        <w:t xml:space="preserve">nternetbasierten </w:t>
      </w:r>
      <w:r w:rsidR="00E86145">
        <w:t>T</w:t>
      </w:r>
      <w:r w:rsidR="00FE4D0C">
        <w:t>h</w:t>
      </w:r>
      <w:r w:rsidR="00E86145">
        <w:t xml:space="preserve">erapie </w:t>
      </w:r>
      <w:r>
        <w:t>und der Abwasseranalyse</w:t>
      </w:r>
      <w:r w:rsidR="000F64A4">
        <w:t xml:space="preserve"> untersucht</w:t>
      </w:r>
      <w:r>
        <w:t>.</w:t>
      </w:r>
    </w:p>
    <w:p w:rsidR="00CF44B3" w:rsidRDefault="00CF44B3">
      <w:pPr>
        <w:pStyle w:val="newsContent"/>
      </w:pPr>
    </w:p>
    <w:p w:rsidR="00CF44B3" w:rsidRDefault="00CF44B3">
      <w:pPr>
        <w:pStyle w:val="newsContent"/>
      </w:pPr>
      <w:r>
        <w:rPr>
          <w:b/>
        </w:rPr>
        <w:t xml:space="preserve">Synthetische Cathinone: besorgniserregende lokale und nationale Ausbrüche </w:t>
      </w:r>
      <w:r w:rsidR="000F64A4">
        <w:rPr>
          <w:b/>
        </w:rPr>
        <w:t>von</w:t>
      </w:r>
      <w:r>
        <w:rPr>
          <w:b/>
        </w:rPr>
        <w:t xml:space="preserve"> injizierendem Konsum</w:t>
      </w:r>
    </w:p>
    <w:p w:rsidR="00CF44B3" w:rsidRDefault="00CF44B3">
      <w:pPr>
        <w:pStyle w:val="newsContent"/>
      </w:pPr>
      <w:r>
        <w:t xml:space="preserve"> </w:t>
      </w:r>
    </w:p>
    <w:p w:rsidR="00CF44B3" w:rsidRDefault="00CF44B3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Zwischen 2005 und 2013 wurden mehr als 50 synthetische Cathinonderivate (Stimulanzien) im Rahmen des </w:t>
      </w:r>
      <w:r>
        <w:rPr>
          <w:rFonts w:ascii="Arial" w:hAnsi="Arial" w:cs="Arial"/>
          <w:b/>
          <w:sz w:val="20"/>
          <w:szCs w:val="20"/>
        </w:rPr>
        <w:t>EU-Frühwarnsystems (EU–EWS)</w:t>
      </w:r>
      <w:r>
        <w:rPr>
          <w:rFonts w:ascii="Arial" w:hAnsi="Arial" w:cs="Arial"/>
          <w:sz w:val="20"/>
          <w:szCs w:val="20"/>
        </w:rPr>
        <w:t xml:space="preserve"> ermittelt. Zu diesen von dem EU-Frühwarnsystem überwachten Substanzen gehören: Mephedron (unterliegt seit 2010 EU-Kontrollmaßnahmen), MDPV (Risikobewertung erfolgte im April 2014) und Pentedron. Synthetische Cathinone können in Pulverform geschnupft oder als Tabletten geschluckt werden</w:t>
      </w:r>
      <w:r w:rsidR="00FE4D0C">
        <w:rPr>
          <w:rFonts w:ascii="Arial" w:hAnsi="Arial" w:cs="Arial"/>
          <w:sz w:val="20"/>
          <w:szCs w:val="20"/>
        </w:rPr>
        <w:t>. A</w:t>
      </w:r>
      <w:r>
        <w:rPr>
          <w:rFonts w:ascii="Arial" w:hAnsi="Arial" w:cs="Arial"/>
          <w:sz w:val="20"/>
          <w:szCs w:val="20"/>
        </w:rPr>
        <w:t xml:space="preserve">ktuell erforscht die </w:t>
      </w:r>
      <w:r>
        <w:rPr>
          <w:rFonts w:ascii="Arial" w:hAnsi="Arial" w:cs="Arial"/>
          <w:b/>
          <w:sz w:val="20"/>
          <w:szCs w:val="20"/>
        </w:rPr>
        <w:t>EMCDDA</w:t>
      </w:r>
      <w:r>
        <w:rPr>
          <w:rFonts w:ascii="Arial" w:hAnsi="Arial" w:cs="Arial"/>
          <w:sz w:val="20"/>
          <w:szCs w:val="20"/>
        </w:rPr>
        <w:t xml:space="preserve"> allerdings die besorgniserregenden Ausbrüche der Injektion</w:t>
      </w:r>
      <w:r w:rsidR="00FE4D0C">
        <w:rPr>
          <w:rFonts w:ascii="Arial" w:hAnsi="Arial" w:cs="Arial"/>
          <w:sz w:val="20"/>
          <w:szCs w:val="20"/>
        </w:rPr>
        <w:t>s</w:t>
      </w:r>
      <w:r w:rsidR="001D021A">
        <w:rPr>
          <w:rFonts w:ascii="Arial" w:hAnsi="Arial" w:cs="Arial"/>
          <w:sz w:val="20"/>
          <w:szCs w:val="20"/>
        </w:rPr>
        <w:t>fälle</w:t>
      </w:r>
      <w:r>
        <w:rPr>
          <w:rFonts w:ascii="Arial" w:hAnsi="Arial" w:cs="Arial"/>
          <w:sz w:val="20"/>
          <w:szCs w:val="20"/>
        </w:rPr>
        <w:t xml:space="preserve"> dieser Substanzen. </w:t>
      </w:r>
    </w:p>
    <w:p w:rsidR="00CF44B3" w:rsidRDefault="00CF44B3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injizierende Konsum von Cathinonen ist in Europa zwar nicht weit verbreitet, stellt aber in einigen Ländern (z.</w:t>
      </w:r>
      <w:r w:rsidR="000F64A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B. </w:t>
      </w:r>
      <w:r w:rsidR="000F64A4">
        <w:rPr>
          <w:rFonts w:ascii="Arial" w:hAnsi="Arial" w:cs="Arial"/>
          <w:sz w:val="20"/>
          <w:szCs w:val="20"/>
        </w:rPr>
        <w:t xml:space="preserve">in der </w:t>
      </w:r>
      <w:r w:rsidR="000F64A4">
        <w:rPr>
          <w:rFonts w:ascii="Arial" w:hAnsi="Arial" w:cs="Arial"/>
          <w:b/>
          <w:sz w:val="20"/>
          <w:szCs w:val="20"/>
        </w:rPr>
        <w:t xml:space="preserve">Tschechischen Republik, </w:t>
      </w:r>
      <w:r>
        <w:rPr>
          <w:rFonts w:ascii="Arial" w:hAnsi="Arial" w:cs="Arial"/>
          <w:b/>
          <w:sz w:val="20"/>
          <w:szCs w:val="20"/>
        </w:rPr>
        <w:t>Deutschland, Irland</w:t>
      </w:r>
      <w:r w:rsidR="000F64A4">
        <w:rPr>
          <w:rFonts w:ascii="Arial" w:hAnsi="Arial" w:cs="Arial"/>
          <w:b/>
          <w:sz w:val="20"/>
          <w:szCs w:val="20"/>
        </w:rPr>
        <w:t>, Spanien</w:t>
      </w:r>
      <w:r>
        <w:rPr>
          <w:rFonts w:ascii="Arial" w:hAnsi="Arial" w:cs="Arial"/>
          <w:b/>
          <w:sz w:val="20"/>
          <w:szCs w:val="20"/>
        </w:rPr>
        <w:t>, Österreich, Polen</w:t>
      </w:r>
      <w:r w:rsidR="000F64A4">
        <w:rPr>
          <w:rFonts w:ascii="Arial" w:hAnsi="Arial" w:cs="Arial"/>
          <w:b/>
          <w:sz w:val="20"/>
          <w:szCs w:val="20"/>
        </w:rPr>
        <w:t>, Finnland</w:t>
      </w:r>
      <w:r>
        <w:rPr>
          <w:rFonts w:ascii="Arial" w:hAnsi="Arial" w:cs="Arial"/>
          <w:b/>
          <w:sz w:val="20"/>
          <w:szCs w:val="20"/>
        </w:rPr>
        <w:t>, Schweden</w:t>
      </w:r>
      <w:r w:rsidR="000F64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und dem </w:t>
      </w:r>
      <w:r>
        <w:rPr>
          <w:rFonts w:ascii="Arial" w:hAnsi="Arial" w:cs="Arial"/>
          <w:b/>
          <w:sz w:val="20"/>
          <w:szCs w:val="20"/>
        </w:rPr>
        <w:t>Vereinigten Königreich</w:t>
      </w:r>
      <w:r>
        <w:rPr>
          <w:rFonts w:ascii="Arial" w:hAnsi="Arial" w:cs="Arial"/>
          <w:sz w:val="20"/>
          <w:szCs w:val="20"/>
        </w:rPr>
        <w:t xml:space="preserve">) ein lokales Problem bei Gruppen </w:t>
      </w:r>
      <w:r w:rsidR="000F64A4">
        <w:rPr>
          <w:rFonts w:ascii="Arial" w:hAnsi="Arial" w:cs="Arial"/>
          <w:sz w:val="20"/>
          <w:szCs w:val="20"/>
        </w:rPr>
        <w:t>besonders gefährdeter</w:t>
      </w:r>
      <w:r>
        <w:rPr>
          <w:rFonts w:ascii="Arial" w:hAnsi="Arial" w:cs="Arial"/>
          <w:sz w:val="20"/>
          <w:szCs w:val="20"/>
        </w:rPr>
        <w:t xml:space="preserve"> Drogenkonsumenten dar. In </w:t>
      </w:r>
      <w:r>
        <w:rPr>
          <w:rFonts w:ascii="Arial" w:hAnsi="Arial" w:cs="Arial"/>
          <w:b/>
          <w:sz w:val="20"/>
          <w:szCs w:val="20"/>
        </w:rPr>
        <w:t>Ungarn</w:t>
      </w:r>
      <w:r>
        <w:rPr>
          <w:rFonts w:ascii="Arial" w:hAnsi="Arial" w:cs="Arial"/>
          <w:sz w:val="20"/>
          <w:szCs w:val="20"/>
        </w:rPr>
        <w:t xml:space="preserve"> und </w:t>
      </w:r>
      <w:r>
        <w:rPr>
          <w:rFonts w:ascii="Arial" w:hAnsi="Arial" w:cs="Arial"/>
          <w:b/>
          <w:sz w:val="20"/>
          <w:szCs w:val="20"/>
        </w:rPr>
        <w:t>Rumänien</w:t>
      </w:r>
      <w:r>
        <w:rPr>
          <w:rFonts w:ascii="Arial" w:hAnsi="Arial" w:cs="Arial"/>
          <w:sz w:val="20"/>
          <w:szCs w:val="20"/>
        </w:rPr>
        <w:t xml:space="preserve"> wurde eine Injektion dieser Substanzen häufiger beobachtet. So gaben beispielsweise in </w:t>
      </w:r>
      <w:r>
        <w:rPr>
          <w:rFonts w:ascii="Arial" w:hAnsi="Arial" w:cs="Arial"/>
          <w:b/>
          <w:sz w:val="20"/>
          <w:szCs w:val="20"/>
        </w:rPr>
        <w:t>Ungarn</w:t>
      </w:r>
      <w:r>
        <w:rPr>
          <w:rFonts w:ascii="Arial" w:hAnsi="Arial" w:cs="Arial"/>
          <w:sz w:val="20"/>
          <w:szCs w:val="20"/>
        </w:rPr>
        <w:t xml:space="preserve"> im Jahr 2012 bei einer landesweiten Umfrage zu Nadel- und Spritzenaustauschprogrammen 36 % der Konsumenten an, dass sie Cathinone als Primärdroge injizierten. </w:t>
      </w:r>
    </w:p>
    <w:p w:rsidR="00CF44B3" w:rsidRDefault="00CF44B3">
      <w:pPr>
        <w:spacing w:after="260" w:line="260" w:lineRule="exac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 Verhalten,</w:t>
      </w:r>
      <w:r w:rsidR="00E86145">
        <w:rPr>
          <w:rFonts w:ascii="Arial" w:hAnsi="Arial" w:cs="Arial"/>
          <w:sz w:val="20"/>
          <w:szCs w:val="20"/>
        </w:rPr>
        <w:t xml:space="preserve"> das zunehmend Besorgnis erregt </w:t>
      </w:r>
      <w:r>
        <w:rPr>
          <w:rFonts w:ascii="Arial" w:hAnsi="Arial" w:cs="Arial"/>
          <w:sz w:val="20"/>
          <w:szCs w:val="20"/>
        </w:rPr>
        <w:t>— beobachtet in Subgruppen von Männern, die Geschlechtsverkehr mit and</w:t>
      </w:r>
      <w:r w:rsidR="00E86145">
        <w:rPr>
          <w:rFonts w:ascii="Arial" w:hAnsi="Arial" w:cs="Arial"/>
          <w:sz w:val="20"/>
          <w:szCs w:val="20"/>
        </w:rPr>
        <w:t>eren Männern praktizieren (MSM) </w:t>
      </w:r>
      <w:r>
        <w:rPr>
          <w:rFonts w:ascii="Arial" w:hAnsi="Arial" w:cs="Arial"/>
          <w:sz w:val="20"/>
          <w:szCs w:val="20"/>
        </w:rPr>
        <w:t>—</w:t>
      </w:r>
      <w:r w:rsidR="000F64A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ist das Injizieren einer Vielzahl von illegalen Drogen (z. B. Cathinonen und Methamphetaminen) auf sogenannten „Chem Sex“-Partys. </w:t>
      </w:r>
      <w:r w:rsidR="00320A9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Diese neue </w:t>
      </w:r>
      <w:r w:rsidR="001D021A">
        <w:rPr>
          <w:rFonts w:ascii="Arial" w:hAnsi="Arial" w:cs="Arial"/>
          <w:sz w:val="20"/>
          <w:szCs w:val="20"/>
        </w:rPr>
        <w:t>Anwendung</w:t>
      </w:r>
      <w:r>
        <w:rPr>
          <w:rFonts w:ascii="Arial" w:hAnsi="Arial" w:cs="Arial"/>
          <w:sz w:val="20"/>
          <w:szCs w:val="20"/>
        </w:rPr>
        <w:t>, verbunden mit riskanten sexuellen Praktiken, wird derzeit aus einigen Großstädten gemeldet. Sind die möglichen Auswirkungen der neu auftretenden Muster des injizierenden Cathinon</w:t>
      </w:r>
      <w:r w:rsidR="000F64A4">
        <w:rPr>
          <w:rFonts w:ascii="Arial" w:hAnsi="Arial" w:cs="Arial"/>
          <w:sz w:val="20"/>
          <w:szCs w:val="20"/>
        </w:rPr>
        <w:t>-K</w:t>
      </w:r>
      <w:r>
        <w:rPr>
          <w:rFonts w:ascii="Arial" w:hAnsi="Arial" w:cs="Arial"/>
          <w:sz w:val="20"/>
          <w:szCs w:val="20"/>
        </w:rPr>
        <w:t>onsums erkannt, ist eine</w:t>
      </w:r>
      <w:r w:rsidR="00300A66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486F5E">
        <w:rPr>
          <w:rFonts w:ascii="Arial" w:hAnsi="Arial" w:cs="Arial"/>
          <w:sz w:val="20"/>
          <w:szCs w:val="20"/>
        </w:rPr>
        <w:t xml:space="preserve">intensiven </w:t>
      </w:r>
      <w:r w:rsidR="00300A66">
        <w:rPr>
          <w:rFonts w:ascii="Arial" w:hAnsi="Arial" w:cs="Arial"/>
          <w:sz w:val="20"/>
          <w:szCs w:val="20"/>
        </w:rPr>
        <w:t>Monitoring</w:t>
      </w:r>
      <w:r>
        <w:rPr>
          <w:rFonts w:ascii="Arial" w:hAnsi="Arial" w:cs="Arial"/>
          <w:sz w:val="20"/>
          <w:szCs w:val="20"/>
        </w:rPr>
        <w:t xml:space="preserve"> dieses Problems gesundheitspolitische Priorität einzuräumen. </w:t>
      </w:r>
    </w:p>
    <w:p w:rsidR="00CF44B3" w:rsidRDefault="00CF44B3" w:rsidP="00156ACF">
      <w:pPr>
        <w:keepNext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Methamphetamin: steigende Besorgnis aufgrund neuer und vielseitiger Konsummuster</w:t>
      </w:r>
    </w:p>
    <w:p w:rsidR="00CF44B3" w:rsidRDefault="00CF44B3">
      <w:pPr>
        <w:spacing w:after="260" w:line="260" w:lineRule="exact"/>
        <w:ind w:right="-2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Methamphetamin ist in vielen Teilen der Welt (u. a. Südostasien, USA) eine etablierte stimulierende Droge und sorgte dort </w:t>
      </w:r>
      <w:r w:rsidR="000F64A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ange</w:t>
      </w:r>
      <w:r w:rsidR="000F64A4">
        <w:rPr>
          <w:rFonts w:ascii="Arial" w:hAnsi="Arial" w:cs="Arial"/>
          <w:sz w:val="20"/>
          <w:szCs w:val="20"/>
        </w:rPr>
        <w:t xml:space="preserve"> Zeit</w:t>
      </w:r>
      <w:r>
        <w:rPr>
          <w:rFonts w:ascii="Arial" w:hAnsi="Arial" w:cs="Arial"/>
          <w:sz w:val="20"/>
          <w:szCs w:val="20"/>
        </w:rPr>
        <w:t xml:space="preserve"> für </w:t>
      </w:r>
      <w:r w:rsidR="000F64A4">
        <w:rPr>
          <w:rFonts w:ascii="Arial" w:hAnsi="Arial" w:cs="Arial"/>
          <w:sz w:val="20"/>
          <w:szCs w:val="20"/>
        </w:rPr>
        <w:t>erhebliche</w:t>
      </w:r>
      <w:r>
        <w:rPr>
          <w:rFonts w:ascii="Arial" w:hAnsi="Arial" w:cs="Arial"/>
          <w:sz w:val="20"/>
          <w:szCs w:val="20"/>
        </w:rPr>
        <w:t xml:space="preserve"> Probleme im öffentlichen Gesundheitswesen. Während sich der </w:t>
      </w:r>
      <w:r>
        <w:rPr>
          <w:rFonts w:ascii="Arial" w:hAnsi="Arial" w:cs="Arial"/>
          <w:sz w:val="20"/>
          <w:szCs w:val="20"/>
        </w:rPr>
        <w:lastRenderedPageBreak/>
        <w:t xml:space="preserve">Methamphetamin-Konsum in Europa bisher auf die </w:t>
      </w:r>
      <w:r>
        <w:rPr>
          <w:rFonts w:ascii="Arial" w:hAnsi="Arial" w:cs="Arial"/>
          <w:b/>
          <w:sz w:val="20"/>
          <w:szCs w:val="20"/>
        </w:rPr>
        <w:t>Tschechische Republik</w:t>
      </w:r>
      <w:r>
        <w:rPr>
          <w:rFonts w:ascii="Arial" w:hAnsi="Arial" w:cs="Arial"/>
          <w:sz w:val="20"/>
          <w:szCs w:val="20"/>
        </w:rPr>
        <w:t xml:space="preserve"> und die </w:t>
      </w:r>
      <w:r>
        <w:rPr>
          <w:rFonts w:ascii="Arial" w:hAnsi="Arial" w:cs="Arial"/>
          <w:b/>
          <w:sz w:val="20"/>
          <w:szCs w:val="20"/>
        </w:rPr>
        <w:t xml:space="preserve">Slowakei </w:t>
      </w:r>
      <w:r>
        <w:rPr>
          <w:rFonts w:ascii="Arial" w:hAnsi="Arial" w:cs="Arial"/>
          <w:sz w:val="20"/>
          <w:szCs w:val="20"/>
        </w:rPr>
        <w:t xml:space="preserve">beschränkte, treten mittlerweile auch anderswo und in verschiedenen Bevölkerungsgruppen neue </w:t>
      </w:r>
      <w:r w:rsidR="000F64A4">
        <w:rPr>
          <w:rFonts w:ascii="Arial" w:hAnsi="Arial" w:cs="Arial"/>
          <w:sz w:val="20"/>
          <w:szCs w:val="20"/>
        </w:rPr>
        <w:t>Konsumi</w:t>
      </w:r>
      <w:r>
        <w:rPr>
          <w:rFonts w:ascii="Arial" w:hAnsi="Arial" w:cs="Arial"/>
          <w:sz w:val="20"/>
          <w:szCs w:val="20"/>
        </w:rPr>
        <w:t xml:space="preserve">nseln und Konsummuster auf. Beispiele hierfür sind das </w:t>
      </w:r>
      <w:r>
        <w:rPr>
          <w:rFonts w:ascii="Arial" w:hAnsi="Arial" w:cs="Arial"/>
          <w:i/>
          <w:sz w:val="20"/>
          <w:szCs w:val="20"/>
        </w:rPr>
        <w:t>Schnupfen</w:t>
      </w:r>
      <w:r>
        <w:rPr>
          <w:rFonts w:ascii="Arial" w:hAnsi="Arial" w:cs="Arial"/>
          <w:sz w:val="20"/>
          <w:szCs w:val="20"/>
        </w:rPr>
        <w:t xml:space="preserve"> von Methamphetaminen (Pulver) </w:t>
      </w:r>
      <w:r w:rsidR="000F64A4">
        <w:rPr>
          <w:rFonts w:ascii="Arial" w:hAnsi="Arial" w:cs="Arial"/>
          <w:sz w:val="20"/>
          <w:szCs w:val="20"/>
        </w:rPr>
        <w:t>bei</w:t>
      </w:r>
      <w:r>
        <w:rPr>
          <w:rFonts w:ascii="Arial" w:hAnsi="Arial" w:cs="Arial"/>
          <w:sz w:val="20"/>
          <w:szCs w:val="20"/>
        </w:rPr>
        <w:t xml:space="preserve"> Freizeitkonsumenten in </w:t>
      </w:r>
      <w:r>
        <w:rPr>
          <w:rFonts w:ascii="Arial" w:hAnsi="Arial" w:cs="Arial"/>
          <w:b/>
          <w:sz w:val="20"/>
          <w:szCs w:val="20"/>
        </w:rPr>
        <w:t>Deutschland</w:t>
      </w:r>
      <w:r>
        <w:rPr>
          <w:rFonts w:ascii="Arial" w:hAnsi="Arial" w:cs="Arial"/>
          <w:sz w:val="20"/>
          <w:szCs w:val="20"/>
        </w:rPr>
        <w:t xml:space="preserve">; das </w:t>
      </w:r>
      <w:r>
        <w:rPr>
          <w:rFonts w:ascii="Arial" w:hAnsi="Arial" w:cs="Arial"/>
          <w:i/>
          <w:sz w:val="20"/>
          <w:szCs w:val="20"/>
        </w:rPr>
        <w:t xml:space="preserve">Rauchen </w:t>
      </w:r>
      <w:r>
        <w:rPr>
          <w:rFonts w:ascii="Arial" w:hAnsi="Arial" w:cs="Arial"/>
          <w:sz w:val="20"/>
          <w:szCs w:val="20"/>
        </w:rPr>
        <w:t xml:space="preserve">von „Crystal Meth“ </w:t>
      </w:r>
      <w:r w:rsidR="000F64A4">
        <w:rPr>
          <w:rFonts w:ascii="Arial" w:hAnsi="Arial" w:cs="Arial"/>
          <w:sz w:val="20"/>
          <w:szCs w:val="20"/>
        </w:rPr>
        <w:t>bei</w:t>
      </w:r>
      <w:r>
        <w:rPr>
          <w:rFonts w:ascii="Arial" w:hAnsi="Arial" w:cs="Arial"/>
          <w:sz w:val="20"/>
          <w:szCs w:val="20"/>
        </w:rPr>
        <w:t xml:space="preserve"> injizierenden Opioid-Konsumenten in </w:t>
      </w:r>
      <w:r>
        <w:rPr>
          <w:rFonts w:ascii="Arial" w:hAnsi="Arial" w:cs="Arial"/>
          <w:b/>
          <w:sz w:val="20"/>
          <w:szCs w:val="20"/>
        </w:rPr>
        <w:t>Griechenland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Zypern</w:t>
      </w:r>
      <w:r>
        <w:rPr>
          <w:rFonts w:ascii="Arial" w:hAnsi="Arial" w:cs="Arial"/>
          <w:sz w:val="20"/>
          <w:szCs w:val="20"/>
        </w:rPr>
        <w:t xml:space="preserve"> und der </w:t>
      </w:r>
      <w:r>
        <w:rPr>
          <w:rFonts w:ascii="Arial" w:hAnsi="Arial" w:cs="Arial"/>
          <w:b/>
          <w:sz w:val="20"/>
          <w:szCs w:val="20"/>
        </w:rPr>
        <w:t>Türkei</w:t>
      </w:r>
      <w:r>
        <w:rPr>
          <w:rFonts w:ascii="Arial" w:hAnsi="Arial" w:cs="Arial"/>
          <w:sz w:val="20"/>
          <w:szCs w:val="20"/>
        </w:rPr>
        <w:t xml:space="preserve"> sowie der</w:t>
      </w:r>
      <w:r>
        <w:rPr>
          <w:rFonts w:ascii="Arial" w:hAnsi="Arial" w:cs="Arial"/>
          <w:i/>
          <w:sz w:val="20"/>
          <w:szCs w:val="20"/>
        </w:rPr>
        <w:t xml:space="preserve"> injizierende Konsum</w:t>
      </w:r>
      <w:r>
        <w:rPr>
          <w:rFonts w:ascii="Arial" w:hAnsi="Arial" w:cs="Arial"/>
          <w:sz w:val="20"/>
          <w:szCs w:val="20"/>
        </w:rPr>
        <w:t xml:space="preserve"> der Droge gemeinsam mit anderen Substanzen bei MSM (siehe oben). </w:t>
      </w:r>
    </w:p>
    <w:p w:rsidR="00CF44B3" w:rsidRDefault="00CF44B3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Bei dieser neuen Analyse richtet die </w:t>
      </w:r>
      <w:r>
        <w:rPr>
          <w:rFonts w:ascii="Arial" w:hAnsi="Arial" w:cs="Arial"/>
          <w:b/>
          <w:sz w:val="20"/>
          <w:szCs w:val="20"/>
        </w:rPr>
        <w:t>EMCDDA</w:t>
      </w:r>
      <w:r>
        <w:rPr>
          <w:rFonts w:ascii="Arial" w:hAnsi="Arial" w:cs="Arial"/>
          <w:sz w:val="20"/>
          <w:szCs w:val="20"/>
        </w:rPr>
        <w:t xml:space="preserve"> </w:t>
      </w:r>
      <w:r w:rsidR="000F64A4">
        <w:rPr>
          <w:rFonts w:ascii="Arial" w:hAnsi="Arial" w:cs="Arial"/>
          <w:sz w:val="20"/>
          <w:szCs w:val="20"/>
        </w:rPr>
        <w:t>ihre Aufmerksamkeit</w:t>
      </w:r>
      <w:r>
        <w:rPr>
          <w:rFonts w:ascii="Arial" w:hAnsi="Arial" w:cs="Arial"/>
          <w:sz w:val="20"/>
          <w:szCs w:val="20"/>
        </w:rPr>
        <w:t xml:space="preserve"> auf die Herausforderungen, die diese Droge </w:t>
      </w:r>
      <w:r w:rsidR="000F64A4">
        <w:rPr>
          <w:rFonts w:ascii="Arial" w:hAnsi="Arial" w:cs="Arial"/>
          <w:sz w:val="20"/>
          <w:szCs w:val="20"/>
        </w:rPr>
        <w:t>derzeit</w:t>
      </w:r>
      <w:r>
        <w:rPr>
          <w:rFonts w:ascii="Arial" w:hAnsi="Arial" w:cs="Arial"/>
          <w:sz w:val="20"/>
          <w:szCs w:val="20"/>
        </w:rPr>
        <w:t xml:space="preserve"> für die Gesundheitsleistungen und sozialpolitischen Belange darstellt. </w:t>
      </w:r>
      <w:r w:rsidR="000F64A4">
        <w:rPr>
          <w:rFonts w:ascii="Arial" w:hAnsi="Arial" w:cs="Arial"/>
          <w:sz w:val="20"/>
          <w:szCs w:val="20"/>
        </w:rPr>
        <w:t>Auch wenn</w:t>
      </w:r>
      <w:r>
        <w:rPr>
          <w:rFonts w:ascii="Arial" w:hAnsi="Arial" w:cs="Arial"/>
          <w:sz w:val="20"/>
          <w:szCs w:val="20"/>
        </w:rPr>
        <w:t xml:space="preserve"> es keine zugelassenen </w:t>
      </w:r>
      <w:r w:rsidR="000F64A4">
        <w:rPr>
          <w:rFonts w:ascii="Arial" w:hAnsi="Arial" w:cs="Arial"/>
          <w:sz w:val="20"/>
          <w:szCs w:val="20"/>
        </w:rPr>
        <w:t>Arzneimittel</w:t>
      </w:r>
      <w:r>
        <w:rPr>
          <w:rFonts w:ascii="Arial" w:hAnsi="Arial" w:cs="Arial"/>
          <w:sz w:val="20"/>
          <w:szCs w:val="20"/>
        </w:rPr>
        <w:t xml:space="preserve"> zur Behandlung bei Methamphetamin-Abhängigkeit gibt, haben sich psychosoziale Maßnahmen als wirksam erwiesen. </w:t>
      </w:r>
      <w:r w:rsidR="00FE4D0C">
        <w:rPr>
          <w:rFonts w:ascii="Arial" w:hAnsi="Arial" w:cs="Arial"/>
          <w:sz w:val="20"/>
          <w:szCs w:val="20"/>
        </w:rPr>
        <w:t xml:space="preserve">Laut der </w:t>
      </w:r>
      <w:r w:rsidR="00FE4D0C" w:rsidRPr="00320A90">
        <w:rPr>
          <w:rFonts w:ascii="Arial" w:hAnsi="Arial" w:cs="Arial"/>
          <w:b/>
          <w:sz w:val="20"/>
          <w:szCs w:val="20"/>
        </w:rPr>
        <w:t>EMCDDA</w:t>
      </w:r>
      <w:r w:rsidR="00FE4D0C">
        <w:rPr>
          <w:rFonts w:ascii="Arial" w:hAnsi="Arial" w:cs="Arial"/>
          <w:sz w:val="20"/>
          <w:szCs w:val="20"/>
        </w:rPr>
        <w:t xml:space="preserve"> hat</w:t>
      </w:r>
      <w:r>
        <w:rPr>
          <w:rFonts w:ascii="Arial" w:hAnsi="Arial" w:cs="Arial"/>
          <w:sz w:val="20"/>
          <w:szCs w:val="20"/>
        </w:rPr>
        <w:t xml:space="preserve"> „Europas </w:t>
      </w:r>
      <w:r w:rsidR="000F64A4">
        <w:rPr>
          <w:rFonts w:ascii="Arial" w:hAnsi="Arial" w:cs="Arial"/>
          <w:sz w:val="20"/>
          <w:szCs w:val="20"/>
        </w:rPr>
        <w:t>derzeitiges</w:t>
      </w:r>
      <w:r>
        <w:rPr>
          <w:rFonts w:ascii="Arial" w:hAnsi="Arial" w:cs="Arial"/>
          <w:sz w:val="20"/>
          <w:szCs w:val="20"/>
        </w:rPr>
        <w:t xml:space="preserve"> Methamphetamin-Problem </w:t>
      </w:r>
      <w:r w:rsidR="00FE4D0C">
        <w:rPr>
          <w:rFonts w:ascii="Arial" w:hAnsi="Arial" w:cs="Arial"/>
          <w:sz w:val="20"/>
          <w:szCs w:val="20"/>
        </w:rPr>
        <w:t xml:space="preserve">[…] </w:t>
      </w:r>
      <w:r>
        <w:rPr>
          <w:rFonts w:ascii="Arial" w:hAnsi="Arial" w:cs="Arial"/>
          <w:sz w:val="20"/>
          <w:szCs w:val="20"/>
        </w:rPr>
        <w:t>kein einheitliches Gesicht</w:t>
      </w:r>
      <w:r w:rsidR="000F64A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und angemessene </w:t>
      </w:r>
      <w:r w:rsidR="003762FE">
        <w:rPr>
          <w:rFonts w:ascii="Arial" w:hAnsi="Arial" w:cs="Arial"/>
          <w:sz w:val="20"/>
          <w:szCs w:val="20"/>
        </w:rPr>
        <w:t xml:space="preserve">Interventionen </w:t>
      </w:r>
      <w:r>
        <w:rPr>
          <w:rFonts w:ascii="Arial" w:hAnsi="Arial" w:cs="Arial"/>
          <w:sz w:val="20"/>
          <w:szCs w:val="20"/>
        </w:rPr>
        <w:t>müssen a</w:t>
      </w:r>
      <w:r w:rsidR="000F64A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lokale Konsummuster und beobachtete Probleme angepasst</w:t>
      </w:r>
      <w:r w:rsidR="000F64A4">
        <w:rPr>
          <w:rFonts w:ascii="Arial" w:hAnsi="Arial" w:cs="Arial"/>
          <w:sz w:val="20"/>
          <w:szCs w:val="20"/>
        </w:rPr>
        <w:t xml:space="preserve"> und</w:t>
      </w:r>
      <w:r>
        <w:rPr>
          <w:rFonts w:ascii="Arial" w:hAnsi="Arial" w:cs="Arial"/>
          <w:sz w:val="20"/>
          <w:szCs w:val="20"/>
        </w:rPr>
        <w:t xml:space="preserve"> </w:t>
      </w:r>
      <w:r w:rsidR="000F64A4">
        <w:rPr>
          <w:rFonts w:ascii="Arial" w:hAnsi="Arial" w:cs="Arial"/>
          <w:sz w:val="20"/>
          <w:szCs w:val="20"/>
        </w:rPr>
        <w:t xml:space="preserve">entsprechend </w:t>
      </w:r>
      <w:r>
        <w:rPr>
          <w:rFonts w:ascii="Arial" w:hAnsi="Arial" w:cs="Arial"/>
          <w:sz w:val="20"/>
          <w:szCs w:val="20"/>
        </w:rPr>
        <w:t xml:space="preserve">entwickelt und zugeschnitten werden.“ </w:t>
      </w:r>
    </w:p>
    <w:p w:rsidR="00CF44B3" w:rsidRDefault="000F64A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Ü</w:t>
      </w:r>
      <w:r w:rsidR="00CF44B3">
        <w:rPr>
          <w:rFonts w:ascii="Arial" w:hAnsi="Arial" w:cs="Arial"/>
          <w:b/>
          <w:sz w:val="20"/>
          <w:szCs w:val="20"/>
        </w:rPr>
        <w:t xml:space="preserve">berprüfung der Fortschritte bei der Medikation zur Behandlung </w:t>
      </w:r>
      <w:r>
        <w:rPr>
          <w:rFonts w:ascii="Arial" w:hAnsi="Arial" w:cs="Arial"/>
          <w:b/>
          <w:sz w:val="20"/>
          <w:szCs w:val="20"/>
        </w:rPr>
        <w:t>von</w:t>
      </w:r>
      <w:r w:rsidR="00CF44B3">
        <w:rPr>
          <w:rFonts w:ascii="Arial" w:hAnsi="Arial" w:cs="Arial"/>
          <w:b/>
          <w:sz w:val="20"/>
          <w:szCs w:val="20"/>
        </w:rPr>
        <w:t xml:space="preserve"> Kokain-Abhängigkeit</w:t>
      </w:r>
    </w:p>
    <w:p w:rsidR="00CF44B3" w:rsidRDefault="00CF44B3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Kokain ist nach wie vor das in Europa am weitesten verbreitete illegale Stimulans und die Behandlung einer Kokain-Abhängigkeit bleibt eine Herausforderung. Im Jahr 2012 gaben 14</w:t>
      </w:r>
      <w:r w:rsidR="000F64A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% der Konsumenten, </w:t>
      </w:r>
      <w:r w:rsidR="00320A90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die sich einer speziellen Drogentherapie in Europa unterzogen, Kokain als ihre Primärdroge an. </w:t>
      </w:r>
      <w:r w:rsidR="00320A90">
        <w:rPr>
          <w:rFonts w:ascii="Arial" w:hAnsi="Arial" w:cs="Arial"/>
          <w:sz w:val="20"/>
          <w:szCs w:val="20"/>
        </w:rPr>
        <w:t xml:space="preserve">                    </w:t>
      </w:r>
      <w:r>
        <w:rPr>
          <w:rFonts w:ascii="Arial" w:hAnsi="Arial" w:cs="Arial"/>
          <w:sz w:val="20"/>
          <w:szCs w:val="20"/>
        </w:rPr>
        <w:t xml:space="preserve">Die </w:t>
      </w:r>
      <w:r>
        <w:rPr>
          <w:rFonts w:ascii="Arial" w:hAnsi="Arial" w:cs="Arial"/>
          <w:b/>
          <w:sz w:val="20"/>
          <w:szCs w:val="20"/>
        </w:rPr>
        <w:t>EMCDDA</w:t>
      </w:r>
      <w:r>
        <w:rPr>
          <w:rFonts w:ascii="Arial" w:hAnsi="Arial" w:cs="Arial"/>
          <w:sz w:val="20"/>
          <w:szCs w:val="20"/>
        </w:rPr>
        <w:t xml:space="preserve"> präsentiert heute eine Meta-Analyse von sechs Übersichtsarbeiten, in denen die Wirksamkeit der zur Behandlung von Kokainproblemen eingesetzten Medikamente sowie deren Akzeptanz bei den Konsumenten untersucht wurde</w:t>
      </w:r>
      <w:r w:rsidR="000F64A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. Die Übersichtsarbeiten der Cochrane</w:t>
      </w:r>
      <w:r w:rsidR="000F64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Gruppe zu </w:t>
      </w:r>
      <w:r w:rsidR="000F64A4">
        <w:rPr>
          <w:rFonts w:ascii="Arial" w:hAnsi="Arial" w:cs="Arial"/>
          <w:sz w:val="20"/>
          <w:szCs w:val="20"/>
        </w:rPr>
        <w:t>Drogen und Alkohol umfassten 92 </w:t>
      </w:r>
      <w:r>
        <w:rPr>
          <w:rFonts w:ascii="Arial" w:hAnsi="Arial" w:cs="Arial"/>
          <w:sz w:val="20"/>
          <w:szCs w:val="20"/>
        </w:rPr>
        <w:t xml:space="preserve">Studien (85 </w:t>
      </w:r>
      <w:r w:rsidR="000F64A4">
        <w:rPr>
          <w:rFonts w:ascii="Arial" w:hAnsi="Arial" w:cs="Arial"/>
          <w:sz w:val="20"/>
          <w:szCs w:val="20"/>
        </w:rPr>
        <w:t>davon in den USA) und über 7 000 </w:t>
      </w:r>
      <w:r>
        <w:rPr>
          <w:rFonts w:ascii="Arial" w:hAnsi="Arial" w:cs="Arial"/>
          <w:sz w:val="20"/>
          <w:szCs w:val="20"/>
        </w:rPr>
        <w:t xml:space="preserve">Teilnehmer. </w:t>
      </w:r>
      <w:r w:rsidR="002C31D2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>Wenn auch noch keine einzelne pharmakologische Lösung für die Kokain-Abhängigkeit gefunden wurde, zeig</w:t>
      </w:r>
      <w:r w:rsidR="000F64A4">
        <w:rPr>
          <w:rFonts w:ascii="Arial" w:hAnsi="Arial" w:cs="Arial"/>
          <w:sz w:val="20"/>
          <w:szCs w:val="20"/>
        </w:rPr>
        <w:t xml:space="preserve">t sich </w:t>
      </w:r>
      <w:r w:rsidR="003F2B9E">
        <w:rPr>
          <w:rFonts w:ascii="Arial" w:hAnsi="Arial" w:cs="Arial"/>
          <w:sz w:val="20"/>
          <w:szCs w:val="20"/>
        </w:rPr>
        <w:t>dennoch</w:t>
      </w:r>
      <w:r>
        <w:rPr>
          <w:rFonts w:ascii="Arial" w:hAnsi="Arial" w:cs="Arial"/>
          <w:sz w:val="20"/>
          <w:szCs w:val="20"/>
        </w:rPr>
        <w:t xml:space="preserve">, dass einige </w:t>
      </w:r>
      <w:r w:rsidR="000F64A4">
        <w:rPr>
          <w:rFonts w:ascii="Arial" w:hAnsi="Arial" w:cs="Arial"/>
          <w:sz w:val="20"/>
          <w:szCs w:val="20"/>
        </w:rPr>
        <w:t>Arzneimittel</w:t>
      </w:r>
      <w:r>
        <w:rPr>
          <w:rFonts w:ascii="Arial" w:hAnsi="Arial" w:cs="Arial"/>
          <w:sz w:val="20"/>
          <w:szCs w:val="20"/>
        </w:rPr>
        <w:t xml:space="preserve"> das </w:t>
      </w:r>
      <w:r w:rsidR="003F2B9E">
        <w:rPr>
          <w:rFonts w:ascii="Arial" w:hAnsi="Arial" w:cs="Arial"/>
          <w:sz w:val="20"/>
          <w:szCs w:val="20"/>
        </w:rPr>
        <w:t xml:space="preserve">Craving </w:t>
      </w:r>
      <w:r>
        <w:rPr>
          <w:rFonts w:ascii="Arial" w:hAnsi="Arial" w:cs="Arial"/>
          <w:sz w:val="20"/>
          <w:szCs w:val="20"/>
        </w:rPr>
        <w:t xml:space="preserve">der Konsumenten verringern können. Während </w:t>
      </w:r>
      <w:r w:rsidR="00E9130C">
        <w:rPr>
          <w:rFonts w:ascii="Arial" w:hAnsi="Arial" w:cs="Arial"/>
          <w:sz w:val="20"/>
          <w:szCs w:val="20"/>
        </w:rPr>
        <w:t xml:space="preserve">sich </w:t>
      </w:r>
      <w:r>
        <w:rPr>
          <w:rFonts w:ascii="Arial" w:hAnsi="Arial" w:cs="Arial"/>
          <w:sz w:val="20"/>
          <w:szCs w:val="20"/>
        </w:rPr>
        <w:t xml:space="preserve">die Forschung in diesem Bereich </w:t>
      </w:r>
      <w:r w:rsidR="00E9130C">
        <w:rPr>
          <w:rFonts w:ascii="Arial" w:hAnsi="Arial" w:cs="Arial"/>
          <w:sz w:val="20"/>
          <w:szCs w:val="20"/>
        </w:rPr>
        <w:t>weiterentwickelt</w:t>
      </w:r>
      <w:r>
        <w:rPr>
          <w:rFonts w:ascii="Arial" w:hAnsi="Arial" w:cs="Arial"/>
          <w:sz w:val="20"/>
          <w:szCs w:val="20"/>
        </w:rPr>
        <w:t xml:space="preserve">, bleiben psychosoziale </w:t>
      </w:r>
      <w:r w:rsidR="003762FE">
        <w:rPr>
          <w:rFonts w:ascii="Arial" w:hAnsi="Arial" w:cs="Arial"/>
          <w:sz w:val="20"/>
          <w:szCs w:val="20"/>
        </w:rPr>
        <w:t xml:space="preserve">Interventionen </w:t>
      </w:r>
      <w:r>
        <w:rPr>
          <w:rFonts w:ascii="Arial" w:hAnsi="Arial" w:cs="Arial"/>
          <w:sz w:val="20"/>
          <w:szCs w:val="20"/>
        </w:rPr>
        <w:t xml:space="preserve">ein zentrales Element bei der Behandlung von Kokainkonsumenten (siehe Video). </w:t>
      </w:r>
    </w:p>
    <w:p w:rsidR="00CF44B3" w:rsidRDefault="00CF4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Einheimischer Anbau von Cannabiskra</w:t>
      </w:r>
      <w:r w:rsidR="000F64A4">
        <w:rPr>
          <w:rFonts w:ascii="Arial" w:hAnsi="Arial" w:cs="Arial"/>
          <w:b/>
          <w:sz w:val="20"/>
          <w:szCs w:val="20"/>
        </w:rPr>
        <w:t>ut: eine Hauptversorgungsquelle </w:t>
      </w:r>
      <w:r>
        <w:rPr>
          <w:rFonts w:ascii="Arial" w:hAnsi="Arial" w:cs="Arial"/>
          <w:b/>
          <w:sz w:val="20"/>
          <w:szCs w:val="20"/>
        </w:rPr>
        <w:t>— eingeführte Harz</w:t>
      </w:r>
      <w:r w:rsidR="000F64A4">
        <w:rPr>
          <w:rFonts w:ascii="Arial" w:hAnsi="Arial" w:cs="Arial"/>
          <w:b/>
          <w:sz w:val="20"/>
          <w:szCs w:val="20"/>
        </w:rPr>
        <w:t>e nehmen an Stärke zu</w:t>
      </w:r>
    </w:p>
    <w:p w:rsidR="00CF44B3" w:rsidRDefault="00CF4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CF44B3" w:rsidRDefault="00CF44B3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bCs/>
          <w:sz w:val="20"/>
          <w:szCs w:val="20"/>
        </w:rPr>
        <w:t xml:space="preserve">Europa war lange </w:t>
      </w:r>
      <w:r w:rsidR="000F64A4">
        <w:rPr>
          <w:rFonts w:ascii="Arial" w:hAnsi="Arial" w:cs="Arial"/>
          <w:bCs/>
          <w:sz w:val="20"/>
          <w:szCs w:val="20"/>
        </w:rPr>
        <w:t xml:space="preserve">Zeit </w:t>
      </w:r>
      <w:r>
        <w:rPr>
          <w:rFonts w:ascii="Arial" w:hAnsi="Arial" w:cs="Arial"/>
          <w:bCs/>
          <w:sz w:val="20"/>
          <w:szCs w:val="20"/>
        </w:rPr>
        <w:t xml:space="preserve">einer der größten Verbrauchermärkte für Cannabis, insbesondere </w:t>
      </w:r>
      <w:r w:rsidR="000F64A4">
        <w:rPr>
          <w:rFonts w:ascii="Arial" w:hAnsi="Arial" w:cs="Arial"/>
          <w:bCs/>
          <w:sz w:val="20"/>
          <w:szCs w:val="20"/>
        </w:rPr>
        <w:t xml:space="preserve">für </w:t>
      </w:r>
      <w:r>
        <w:rPr>
          <w:rFonts w:ascii="Arial" w:hAnsi="Arial" w:cs="Arial"/>
          <w:bCs/>
          <w:sz w:val="20"/>
          <w:szCs w:val="20"/>
        </w:rPr>
        <w:t xml:space="preserve">das vorwiegend aus </w:t>
      </w:r>
      <w:r>
        <w:rPr>
          <w:rFonts w:ascii="Arial" w:hAnsi="Arial" w:cs="Arial"/>
          <w:b/>
          <w:bCs/>
          <w:sz w:val="20"/>
          <w:szCs w:val="20"/>
        </w:rPr>
        <w:t>Marokko</w:t>
      </w:r>
      <w:r>
        <w:rPr>
          <w:rFonts w:ascii="Arial" w:hAnsi="Arial" w:cs="Arial"/>
          <w:bCs/>
          <w:sz w:val="20"/>
          <w:szCs w:val="20"/>
        </w:rPr>
        <w:t xml:space="preserve"> eingeführte Harz. Jedes Jahr werden in Eu</w:t>
      </w:r>
      <w:r w:rsidR="000F64A4">
        <w:rPr>
          <w:rFonts w:ascii="Arial" w:hAnsi="Arial" w:cs="Arial"/>
          <w:bCs/>
          <w:sz w:val="20"/>
          <w:szCs w:val="20"/>
        </w:rPr>
        <w:t>ropa schätzungsweise etwa 2 050 </w:t>
      </w:r>
      <w:r>
        <w:rPr>
          <w:rFonts w:ascii="Arial" w:hAnsi="Arial" w:cs="Arial"/>
          <w:bCs/>
          <w:sz w:val="20"/>
          <w:szCs w:val="20"/>
        </w:rPr>
        <w:t xml:space="preserve">Tonnen Cannabisharz („Haschisch“) und Cannabiskraut („Marihuana“) konsumiert. Heute berichtet die </w:t>
      </w:r>
      <w:r>
        <w:rPr>
          <w:rFonts w:ascii="Arial" w:hAnsi="Arial" w:cs="Arial"/>
          <w:b/>
          <w:bCs/>
          <w:sz w:val="20"/>
          <w:szCs w:val="20"/>
        </w:rPr>
        <w:t>EMCDDA</w:t>
      </w:r>
      <w:r>
        <w:rPr>
          <w:rFonts w:ascii="Arial" w:hAnsi="Arial" w:cs="Arial"/>
          <w:bCs/>
          <w:sz w:val="20"/>
          <w:szCs w:val="20"/>
        </w:rPr>
        <w:t xml:space="preserve">, dass der europäische Verbrauchermarkt für Cannabis mittlerweile vom Kraut dominiert wird, wobei der einheimische Anbau des Krauts den Inlandskonsum bedient. Zunehmend werden in </w:t>
      </w:r>
      <w:r w:rsidR="000F64A4">
        <w:rPr>
          <w:rFonts w:ascii="Arial" w:hAnsi="Arial" w:cs="Arial"/>
          <w:bCs/>
          <w:sz w:val="20"/>
          <w:szCs w:val="20"/>
        </w:rPr>
        <w:t xml:space="preserve">allen Teilen </w:t>
      </w:r>
      <w:r>
        <w:rPr>
          <w:rFonts w:ascii="Arial" w:hAnsi="Arial" w:cs="Arial"/>
          <w:bCs/>
          <w:sz w:val="20"/>
          <w:szCs w:val="20"/>
        </w:rPr>
        <w:t>Europa</w:t>
      </w:r>
      <w:r w:rsidR="000F64A4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 Cannabis-Plantagen entdeckt.</w:t>
      </w:r>
      <w:bookmarkStart w:id="0" w:name="_GoBack"/>
      <w:bookmarkEnd w:id="0"/>
    </w:p>
    <w:p w:rsidR="00CF44B3" w:rsidRDefault="00CF44B3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color w:val="BFBFBF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 den </w:t>
      </w:r>
      <w:r w:rsidR="000F64A4">
        <w:rPr>
          <w:rFonts w:ascii="Arial" w:hAnsi="Arial" w:cs="Arial"/>
          <w:bCs/>
          <w:sz w:val="20"/>
          <w:szCs w:val="20"/>
        </w:rPr>
        <w:t xml:space="preserve">vergangenen </w:t>
      </w:r>
      <w:r>
        <w:rPr>
          <w:rFonts w:ascii="Arial" w:hAnsi="Arial" w:cs="Arial"/>
          <w:bCs/>
          <w:sz w:val="20"/>
          <w:szCs w:val="20"/>
        </w:rPr>
        <w:t xml:space="preserve">zehn Jahren hat die Anzahl der Sicherstellungen </w:t>
      </w:r>
      <w:r w:rsidR="00E9130C">
        <w:rPr>
          <w:rFonts w:ascii="Arial" w:hAnsi="Arial" w:cs="Arial"/>
          <w:bCs/>
          <w:sz w:val="20"/>
          <w:szCs w:val="20"/>
        </w:rPr>
        <w:t xml:space="preserve">von </w:t>
      </w:r>
      <w:r>
        <w:rPr>
          <w:rFonts w:ascii="Arial" w:hAnsi="Arial" w:cs="Arial"/>
          <w:bCs/>
          <w:sz w:val="20"/>
          <w:szCs w:val="20"/>
        </w:rPr>
        <w:t xml:space="preserve">Cannabiskraut in Europa die </w:t>
      </w:r>
      <w:r w:rsidR="000F64A4">
        <w:rPr>
          <w:rFonts w:ascii="Arial" w:hAnsi="Arial" w:cs="Arial"/>
          <w:bCs/>
          <w:sz w:val="20"/>
          <w:szCs w:val="20"/>
        </w:rPr>
        <w:t>von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E9130C">
        <w:rPr>
          <w:rFonts w:ascii="Arial" w:hAnsi="Arial" w:cs="Arial"/>
          <w:bCs/>
          <w:sz w:val="20"/>
          <w:szCs w:val="20"/>
        </w:rPr>
        <w:t>Cannabish</w:t>
      </w:r>
      <w:r>
        <w:rPr>
          <w:rFonts w:ascii="Arial" w:hAnsi="Arial" w:cs="Arial"/>
          <w:bCs/>
          <w:sz w:val="20"/>
          <w:szCs w:val="20"/>
        </w:rPr>
        <w:t xml:space="preserve">arz überstiegen. Im Jahr 2012 wurde von etwa 457 000 Sicherstellungen von Cannabiskraut berichtet, </w:t>
      </w:r>
      <w:r w:rsidR="000F64A4">
        <w:rPr>
          <w:rFonts w:ascii="Arial" w:hAnsi="Arial" w:cs="Arial"/>
          <w:bCs/>
          <w:sz w:val="20"/>
          <w:szCs w:val="20"/>
        </w:rPr>
        <w:t>im Vergleich zu</w:t>
      </w:r>
      <w:r>
        <w:rPr>
          <w:rFonts w:ascii="Arial" w:hAnsi="Arial" w:cs="Arial"/>
          <w:bCs/>
          <w:sz w:val="20"/>
          <w:szCs w:val="20"/>
        </w:rPr>
        <w:t xml:space="preserve"> 258 000 S</w:t>
      </w:r>
      <w:r w:rsidR="000F64A4">
        <w:rPr>
          <w:rFonts w:ascii="Arial" w:hAnsi="Arial" w:cs="Arial"/>
          <w:bCs/>
          <w:sz w:val="20"/>
          <w:szCs w:val="20"/>
        </w:rPr>
        <w:t xml:space="preserve">icherstellungen </w:t>
      </w:r>
      <w:r w:rsidR="00E9130C">
        <w:rPr>
          <w:rFonts w:ascii="Arial" w:hAnsi="Arial" w:cs="Arial"/>
          <w:bCs/>
          <w:sz w:val="20"/>
          <w:szCs w:val="20"/>
        </w:rPr>
        <w:t xml:space="preserve">von </w:t>
      </w:r>
      <w:r w:rsidR="000F64A4">
        <w:rPr>
          <w:rFonts w:ascii="Arial" w:hAnsi="Arial" w:cs="Arial"/>
          <w:bCs/>
          <w:sz w:val="20"/>
          <w:szCs w:val="20"/>
        </w:rPr>
        <w:t xml:space="preserve">Harz. Etwa sieben </w:t>
      </w:r>
      <w:r>
        <w:rPr>
          <w:rFonts w:ascii="Arial" w:hAnsi="Arial" w:cs="Arial"/>
          <w:bCs/>
          <w:sz w:val="20"/>
          <w:szCs w:val="20"/>
        </w:rPr>
        <w:t xml:space="preserve">Millionen Cannabis-Pflanzen wurden 2012 sichergestellt, mehr als 2,5-mal mehr als </w:t>
      </w:r>
      <w:r w:rsidR="000F64A4">
        <w:rPr>
          <w:rFonts w:ascii="Arial" w:hAnsi="Arial" w:cs="Arial"/>
          <w:bCs/>
          <w:sz w:val="20"/>
          <w:szCs w:val="20"/>
        </w:rPr>
        <w:t>fünf</w:t>
      </w:r>
      <w:r>
        <w:rPr>
          <w:rFonts w:ascii="Arial" w:hAnsi="Arial" w:cs="Arial"/>
          <w:bCs/>
          <w:sz w:val="20"/>
          <w:szCs w:val="20"/>
        </w:rPr>
        <w:t xml:space="preserve"> Jahre zuvor. Seit einigen Jahren sorgen Neuerungen im Cannabisanbau für Besorgnis (siehe Video), da die Züchter Pflanzen mit hohem THC-Gehalt (Wirkstoff in Cannabis) aber geringem CBD-Gehalt (ein Antipsychotikum) anbauen. Während </w:t>
      </w:r>
      <w:r w:rsidR="00E9130C">
        <w:rPr>
          <w:rFonts w:ascii="Arial" w:hAnsi="Arial" w:cs="Arial"/>
          <w:bCs/>
          <w:sz w:val="20"/>
          <w:szCs w:val="20"/>
        </w:rPr>
        <w:t xml:space="preserve">der Wirkstoffgehalt </w:t>
      </w:r>
      <w:r>
        <w:rPr>
          <w:rFonts w:ascii="Arial" w:hAnsi="Arial" w:cs="Arial"/>
          <w:bCs/>
          <w:sz w:val="20"/>
          <w:szCs w:val="20"/>
        </w:rPr>
        <w:t xml:space="preserve">beider Cannabisformen seit 2006 zugenommen hat, wurden die größten Zunahmen </w:t>
      </w:r>
      <w:r w:rsidR="00E9130C">
        <w:rPr>
          <w:rFonts w:ascii="Arial" w:hAnsi="Arial" w:cs="Arial"/>
          <w:bCs/>
          <w:sz w:val="20"/>
          <w:szCs w:val="20"/>
        </w:rPr>
        <w:t>des Wirkstoffgehalts</w:t>
      </w:r>
      <w:r>
        <w:rPr>
          <w:rFonts w:ascii="Arial" w:hAnsi="Arial" w:cs="Arial"/>
          <w:bCs/>
          <w:sz w:val="20"/>
          <w:szCs w:val="20"/>
        </w:rPr>
        <w:t xml:space="preserve"> der Harze zwischen 2011 und 2012 beobachtet (siehe Cannabis-Infografik, </w:t>
      </w:r>
      <w:r w:rsidRPr="007342E9">
        <w:rPr>
          <w:rFonts w:ascii="Arial" w:hAnsi="Arial" w:cs="Arial"/>
          <w:bCs/>
          <w:i/>
          <w:sz w:val="20"/>
          <w:szCs w:val="20"/>
        </w:rPr>
        <w:t>Euro</w:t>
      </w:r>
      <w:r w:rsidR="000F64A4" w:rsidRPr="007342E9">
        <w:rPr>
          <w:rFonts w:ascii="Arial" w:hAnsi="Arial" w:cs="Arial"/>
          <w:bCs/>
          <w:i/>
          <w:sz w:val="20"/>
          <w:szCs w:val="20"/>
        </w:rPr>
        <w:t>päischer Drogenbericht</w:t>
      </w:r>
      <w:r w:rsidR="00D479B5">
        <w:rPr>
          <w:rFonts w:ascii="Arial" w:hAnsi="Arial" w:cs="Arial"/>
          <w:bCs/>
          <w:sz w:val="20"/>
          <w:szCs w:val="20"/>
        </w:rPr>
        <w:t xml:space="preserve"> 2014</w:t>
      </w:r>
      <w:r w:rsidR="000F64A4">
        <w:rPr>
          <w:rFonts w:ascii="Arial" w:hAnsi="Arial" w:cs="Arial"/>
          <w:bCs/>
          <w:sz w:val="20"/>
          <w:szCs w:val="20"/>
        </w:rPr>
        <w:t>, Kapitel </w:t>
      </w:r>
      <w:r>
        <w:rPr>
          <w:rFonts w:ascii="Arial" w:hAnsi="Arial" w:cs="Arial"/>
          <w:bCs/>
          <w:sz w:val="20"/>
          <w:szCs w:val="20"/>
        </w:rPr>
        <w:t>1).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CF44B3" w:rsidRDefault="00CF44B3" w:rsidP="00156ACF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0F64A4">
        <w:rPr>
          <w:rFonts w:ascii="Arial" w:hAnsi="Arial" w:cs="Arial"/>
          <w:b/>
          <w:sz w:val="20"/>
          <w:szCs w:val="20"/>
        </w:rPr>
        <w:t>nternetbasierte Drogentherapie </w:t>
      </w:r>
      <w:r>
        <w:rPr>
          <w:rFonts w:ascii="Arial" w:hAnsi="Arial" w:cs="Arial"/>
          <w:b/>
          <w:sz w:val="20"/>
          <w:szCs w:val="20"/>
        </w:rPr>
        <w:t xml:space="preserve">— ein neues Angebot für Drogenkonsumenten </w:t>
      </w:r>
    </w:p>
    <w:p w:rsidR="00CF44B3" w:rsidRDefault="00CF44B3" w:rsidP="00156ACF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:rsidR="00CF44B3" w:rsidRDefault="00CF44B3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Das Internet wird inzwischen auf breiter Ebene als attraktives Medium zur Aufklärung über Drogen</w:t>
      </w:r>
      <w:r w:rsidR="00E9130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Alkohol</w:t>
      </w:r>
      <w:r w:rsidR="00E9130C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Präventions- und Therapieprogramme gesehen. Heute </w:t>
      </w:r>
      <w:r w:rsidR="000F64A4">
        <w:rPr>
          <w:rFonts w:ascii="Arial" w:hAnsi="Arial" w:cs="Arial"/>
          <w:sz w:val="20"/>
          <w:szCs w:val="20"/>
        </w:rPr>
        <w:t>stellt</w:t>
      </w:r>
      <w:r>
        <w:rPr>
          <w:rFonts w:ascii="Arial" w:hAnsi="Arial" w:cs="Arial"/>
          <w:sz w:val="20"/>
          <w:szCs w:val="20"/>
        </w:rPr>
        <w:t xml:space="preserve"> die </w:t>
      </w:r>
      <w:r>
        <w:rPr>
          <w:rFonts w:ascii="Arial" w:hAnsi="Arial" w:cs="Arial"/>
          <w:b/>
          <w:sz w:val="20"/>
          <w:szCs w:val="20"/>
        </w:rPr>
        <w:t>EMCDDA</w:t>
      </w:r>
      <w:r>
        <w:rPr>
          <w:rFonts w:ascii="Arial" w:hAnsi="Arial" w:cs="Arial"/>
          <w:sz w:val="20"/>
          <w:szCs w:val="20"/>
        </w:rPr>
        <w:t xml:space="preserve"> Entwicklungen bei </w:t>
      </w:r>
      <w:r w:rsidR="00E8614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nternetbasierten Drogentherapien (</w:t>
      </w:r>
      <w:r w:rsidRPr="00320A90">
        <w:rPr>
          <w:rFonts w:ascii="Arial" w:hAnsi="Arial" w:cs="Arial"/>
          <w:i/>
          <w:sz w:val="20"/>
          <w:szCs w:val="20"/>
        </w:rPr>
        <w:t>I</w:t>
      </w:r>
      <w:r w:rsidR="00320A90" w:rsidRPr="00320A90">
        <w:rPr>
          <w:rFonts w:ascii="Arial" w:hAnsi="Arial" w:cs="Arial"/>
          <w:i/>
          <w:sz w:val="20"/>
          <w:szCs w:val="20"/>
        </w:rPr>
        <w:t>nternet-based drug treatment</w:t>
      </w:r>
      <w:r w:rsidR="00320A90">
        <w:rPr>
          <w:rFonts w:ascii="Arial" w:hAnsi="Arial" w:cs="Arial"/>
          <w:sz w:val="20"/>
          <w:szCs w:val="20"/>
        </w:rPr>
        <w:t xml:space="preserve"> — I</w:t>
      </w:r>
      <w:r>
        <w:rPr>
          <w:rFonts w:ascii="Arial" w:hAnsi="Arial" w:cs="Arial"/>
          <w:sz w:val="20"/>
          <w:szCs w:val="20"/>
        </w:rPr>
        <w:t>BDT)</w:t>
      </w:r>
      <w:r w:rsidR="000F64A4">
        <w:rPr>
          <w:rFonts w:ascii="Arial" w:hAnsi="Arial" w:cs="Arial"/>
          <w:sz w:val="20"/>
          <w:szCs w:val="20"/>
        </w:rPr>
        <w:t xml:space="preserve"> dar</w:t>
      </w:r>
      <w:r>
        <w:rPr>
          <w:rFonts w:ascii="Arial" w:hAnsi="Arial" w:cs="Arial"/>
          <w:sz w:val="20"/>
          <w:szCs w:val="20"/>
        </w:rPr>
        <w:t xml:space="preserve">, die in den letzten zehn Jahren in Europa, insbesondere in Bezug auf Cannabiskonsum, ausgebaut wurden. </w:t>
      </w:r>
      <w:r w:rsidR="000F64A4">
        <w:rPr>
          <w:rFonts w:ascii="Arial" w:hAnsi="Arial" w:cs="Arial"/>
          <w:sz w:val="20"/>
          <w:szCs w:val="20"/>
        </w:rPr>
        <w:t>Bei der</w:t>
      </w:r>
      <w:r>
        <w:rPr>
          <w:rFonts w:ascii="Arial" w:hAnsi="Arial" w:cs="Arial"/>
          <w:sz w:val="20"/>
          <w:szCs w:val="20"/>
        </w:rPr>
        <w:t xml:space="preserve"> IBDT </w:t>
      </w:r>
      <w:r w:rsidR="000F64A4">
        <w:rPr>
          <w:rFonts w:ascii="Arial" w:hAnsi="Arial" w:cs="Arial"/>
          <w:sz w:val="20"/>
          <w:szCs w:val="20"/>
        </w:rPr>
        <w:t xml:space="preserve">werden </w:t>
      </w:r>
      <w:r>
        <w:rPr>
          <w:rFonts w:ascii="Arial" w:hAnsi="Arial" w:cs="Arial"/>
          <w:sz w:val="20"/>
          <w:szCs w:val="20"/>
        </w:rPr>
        <w:t xml:space="preserve">erprobte psychosoziale Methoden </w:t>
      </w:r>
      <w:r w:rsidR="000F64A4">
        <w:rPr>
          <w:rFonts w:ascii="Arial" w:hAnsi="Arial" w:cs="Arial"/>
          <w:sz w:val="20"/>
          <w:szCs w:val="20"/>
        </w:rPr>
        <w:t xml:space="preserve">genutzt </w:t>
      </w:r>
      <w:r>
        <w:rPr>
          <w:rFonts w:ascii="Arial" w:hAnsi="Arial" w:cs="Arial"/>
          <w:sz w:val="20"/>
          <w:szCs w:val="20"/>
        </w:rPr>
        <w:t>und in ein neues Instrument der Web-basierten Bereitstellung</w:t>
      </w:r>
      <w:r w:rsidR="00E9130C">
        <w:rPr>
          <w:rFonts w:ascii="Arial" w:hAnsi="Arial" w:cs="Arial"/>
          <w:sz w:val="20"/>
          <w:szCs w:val="20"/>
        </w:rPr>
        <w:t xml:space="preserve"> </w:t>
      </w:r>
      <w:r w:rsidR="00E9130C">
        <w:rPr>
          <w:rFonts w:ascii="Arial" w:hAnsi="Arial" w:cs="Arial"/>
          <w:sz w:val="20"/>
          <w:szCs w:val="20"/>
        </w:rPr>
        <w:lastRenderedPageBreak/>
        <w:t>integriert</w:t>
      </w:r>
      <w:r>
        <w:rPr>
          <w:rFonts w:ascii="Arial" w:hAnsi="Arial" w:cs="Arial"/>
          <w:sz w:val="20"/>
          <w:szCs w:val="20"/>
        </w:rPr>
        <w:t xml:space="preserve">. </w:t>
      </w:r>
      <w:r w:rsidR="000F64A4">
        <w:rPr>
          <w:rFonts w:ascii="Arial" w:hAnsi="Arial" w:cs="Arial"/>
          <w:sz w:val="20"/>
          <w:szCs w:val="20"/>
        </w:rPr>
        <w:t>Auch wenn</w:t>
      </w:r>
      <w:r>
        <w:rPr>
          <w:rFonts w:ascii="Arial" w:hAnsi="Arial" w:cs="Arial"/>
          <w:sz w:val="20"/>
          <w:szCs w:val="20"/>
        </w:rPr>
        <w:t xml:space="preserve"> </w:t>
      </w:r>
      <w:r w:rsidR="000F64A4">
        <w:rPr>
          <w:rFonts w:ascii="Arial" w:hAnsi="Arial" w:cs="Arial"/>
          <w:sz w:val="20"/>
          <w:szCs w:val="20"/>
        </w:rPr>
        <w:t xml:space="preserve">dabei </w:t>
      </w:r>
      <w:r>
        <w:rPr>
          <w:rFonts w:ascii="Arial" w:hAnsi="Arial" w:cs="Arial"/>
          <w:sz w:val="20"/>
          <w:szCs w:val="20"/>
        </w:rPr>
        <w:t xml:space="preserve">Datenschutz und Anonymität wichtige </w:t>
      </w:r>
      <w:r w:rsidR="000F64A4">
        <w:rPr>
          <w:rFonts w:ascii="Arial" w:hAnsi="Arial" w:cs="Arial"/>
          <w:sz w:val="20"/>
          <w:szCs w:val="20"/>
        </w:rPr>
        <w:t>Aspekte</w:t>
      </w:r>
      <w:r>
        <w:rPr>
          <w:rFonts w:ascii="Arial" w:hAnsi="Arial" w:cs="Arial"/>
          <w:sz w:val="20"/>
          <w:szCs w:val="20"/>
        </w:rPr>
        <w:t xml:space="preserve"> sind</w:t>
      </w:r>
      <w:r w:rsidR="000F64A4">
        <w:rPr>
          <w:rFonts w:ascii="Arial" w:hAnsi="Arial" w:cs="Arial"/>
          <w:sz w:val="20"/>
          <w:szCs w:val="20"/>
        </w:rPr>
        <w:t>, die es zu beachten gilt</w:t>
      </w:r>
      <w:r>
        <w:rPr>
          <w:rFonts w:ascii="Arial" w:hAnsi="Arial" w:cs="Arial"/>
          <w:sz w:val="20"/>
          <w:szCs w:val="20"/>
        </w:rPr>
        <w:t>, ist der Nutzen dieser Art von Dienstleistung groß:</w:t>
      </w:r>
      <w:r w:rsidR="000F64A4">
        <w:rPr>
          <w:rFonts w:ascii="Arial" w:hAnsi="Arial" w:cs="Arial"/>
          <w:sz w:val="20"/>
          <w:szCs w:val="20"/>
        </w:rPr>
        <w:t xml:space="preserve"> </w:t>
      </w:r>
      <w:r w:rsidR="00CE2B1E">
        <w:rPr>
          <w:rFonts w:ascii="Arial" w:hAnsi="Arial" w:cs="Arial"/>
          <w:sz w:val="20"/>
          <w:szCs w:val="20"/>
        </w:rPr>
        <w:t>S</w:t>
      </w:r>
      <w:r w:rsidR="000F64A4">
        <w:rPr>
          <w:rFonts w:ascii="Arial" w:hAnsi="Arial" w:cs="Arial"/>
          <w:sz w:val="20"/>
          <w:szCs w:val="20"/>
        </w:rPr>
        <w:t>ie ermöglicht einen</w:t>
      </w:r>
      <w:r>
        <w:rPr>
          <w:rFonts w:ascii="Arial" w:hAnsi="Arial" w:cs="Arial"/>
          <w:sz w:val="20"/>
          <w:szCs w:val="20"/>
        </w:rPr>
        <w:t xml:space="preserve"> größere</w:t>
      </w:r>
      <w:r w:rsidR="000F64A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geografische</w:t>
      </w:r>
      <w:r w:rsidR="000F64A4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Erfassungsbereich</w:t>
      </w:r>
      <w:r w:rsidR="00CE2B1E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F64A4">
        <w:rPr>
          <w:rFonts w:ascii="Arial" w:hAnsi="Arial" w:cs="Arial"/>
          <w:sz w:val="20"/>
          <w:szCs w:val="20"/>
        </w:rPr>
        <w:t xml:space="preserve">den </w:t>
      </w:r>
      <w:r>
        <w:rPr>
          <w:rFonts w:ascii="Arial" w:hAnsi="Arial" w:cs="Arial"/>
          <w:sz w:val="20"/>
          <w:szCs w:val="20"/>
        </w:rPr>
        <w:t>Zugang zu Konsumenten, die von speziellen Drogenhilfsdiensten nicht erreicht werden</w:t>
      </w:r>
      <w:r w:rsidR="00CE2B1E">
        <w:rPr>
          <w:rFonts w:ascii="Arial" w:hAnsi="Arial" w:cs="Arial"/>
          <w:sz w:val="20"/>
          <w:szCs w:val="20"/>
        </w:rPr>
        <w:t xml:space="preserve"> und</w:t>
      </w:r>
      <w:r>
        <w:rPr>
          <w:rFonts w:ascii="Arial" w:hAnsi="Arial" w:cs="Arial"/>
          <w:sz w:val="20"/>
          <w:szCs w:val="20"/>
        </w:rPr>
        <w:t xml:space="preserve"> </w:t>
      </w:r>
      <w:r w:rsidR="00CE2B1E">
        <w:rPr>
          <w:rFonts w:ascii="Arial" w:hAnsi="Arial" w:cs="Arial"/>
          <w:sz w:val="20"/>
          <w:szCs w:val="20"/>
        </w:rPr>
        <w:t xml:space="preserve">schnellere </w:t>
      </w:r>
      <w:r>
        <w:rPr>
          <w:rFonts w:ascii="Arial" w:hAnsi="Arial" w:cs="Arial"/>
          <w:sz w:val="20"/>
          <w:szCs w:val="20"/>
        </w:rPr>
        <w:t>Hilfe (keine Wartezeiten). Die IBDT-Programme können im Zuge ihrer Weiterentwicklung traditionelle Therapiedienstleistungen ergänzen und hilf</w:t>
      </w:r>
      <w:r w:rsidR="000F64A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bedürftigen Drogenkonsumenten neue Möglichkeiten eröffnen (siehe Video). </w:t>
      </w:r>
    </w:p>
    <w:p w:rsidR="00CF44B3" w:rsidRDefault="00CF44B3">
      <w:pPr>
        <w:spacing w:after="2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Größte städteübergreifende Studie zur Abwasseranalyse auf Drogen heute veröffentlicht </w:t>
      </w:r>
    </w:p>
    <w:p w:rsidR="00CF44B3" w:rsidRDefault="00CF44B3">
      <w:pPr>
        <w:pStyle w:val="CommentText"/>
        <w:spacing w:after="0" w:line="26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Auch die Ergebnisse des derzeit größten europäischen Projekts in der sich neu abzeichnenden Wissenschaft der Abwasseranalyse werden heute veröffentlicht. Im Rahmen </w:t>
      </w:r>
      <w:r w:rsidR="000F64A4">
        <w:rPr>
          <w:rFonts w:ascii="Arial" w:hAnsi="Arial" w:cs="Arial"/>
        </w:rPr>
        <w:t>dieses Projekts wurden in über 40 Städten (in 21 </w:t>
      </w:r>
      <w:r>
        <w:rPr>
          <w:rFonts w:ascii="Arial" w:hAnsi="Arial" w:cs="Arial"/>
        </w:rPr>
        <w:t xml:space="preserve">Ländern) die Abwässer analysiert, um die Gewohnheiten der dort lebenden Drogenkonsumenten zu untersuchen. Die Ergebnisse sind in einer </w:t>
      </w:r>
      <w:r w:rsidRPr="00D479B5">
        <w:rPr>
          <w:rFonts w:ascii="Arial" w:hAnsi="Arial" w:cs="Arial"/>
          <w:b/>
        </w:rPr>
        <w:t>EMCDDA</w:t>
      </w:r>
      <w:r>
        <w:rPr>
          <w:rFonts w:ascii="Arial" w:hAnsi="Arial" w:cs="Arial"/>
        </w:rPr>
        <w:t xml:space="preserve">-POD zusammengestellt, </w:t>
      </w:r>
      <w:r w:rsidR="00320A9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die sich speziell diesem Thema widmet. Abwässer von etwa </w:t>
      </w:r>
      <w:r w:rsidR="000F64A4">
        <w:rPr>
          <w:rFonts w:ascii="Arial" w:hAnsi="Arial" w:cs="Arial"/>
        </w:rPr>
        <w:t>acht</w:t>
      </w:r>
      <w:r>
        <w:rPr>
          <w:rFonts w:ascii="Arial" w:hAnsi="Arial" w:cs="Arial"/>
        </w:rPr>
        <w:t xml:space="preserve"> Millionen Menschen wurden auf Spuren von fünf illegalen Drogen untersucht und zwar </w:t>
      </w:r>
      <w:r w:rsidR="001D021A">
        <w:rPr>
          <w:rFonts w:ascii="Arial" w:hAnsi="Arial" w:cs="Arial"/>
        </w:rPr>
        <w:t xml:space="preserve">von </w:t>
      </w:r>
      <w:r>
        <w:rPr>
          <w:rFonts w:ascii="Arial" w:hAnsi="Arial" w:cs="Arial"/>
        </w:rPr>
        <w:t>Amphetamin, Cannabis, Kokain, Ecstasy und Methamphetamin (Pressemitteilung 5/2014).</w:t>
      </w:r>
    </w:p>
    <w:p w:rsidR="00CF44B3" w:rsidRDefault="00CF44B3">
      <w:pPr>
        <w:pStyle w:val="newsContent"/>
      </w:pPr>
    </w:p>
    <w:p w:rsidR="00CF44B3" w:rsidRDefault="00CF44B3">
      <w:pPr>
        <w:pStyle w:val="newsContent"/>
      </w:pPr>
      <w:r>
        <w:t xml:space="preserve">Die Ergebnisse stellen eine wertvolle Momentaufnahme des Drogendurchsatzes der beteiligten Städte dar und </w:t>
      </w:r>
      <w:r w:rsidR="000F64A4">
        <w:t xml:space="preserve">es </w:t>
      </w:r>
      <w:r>
        <w:t xml:space="preserve">zeigen </w:t>
      </w:r>
      <w:r w:rsidR="000F64A4">
        <w:t xml:space="preserve">sich </w:t>
      </w:r>
      <w:r>
        <w:t>deutliche regionale Unterschiede im Muster des Drogenkonsums. S</w:t>
      </w:r>
      <w:r w:rsidR="000F64A4">
        <w:t>o waren etwa S</w:t>
      </w:r>
      <w:r>
        <w:t xml:space="preserve">puren von Kokain in westlichen </w:t>
      </w:r>
      <w:r w:rsidR="001D021A">
        <w:t xml:space="preserve">sowie </w:t>
      </w:r>
      <w:r>
        <w:t>einigen südlichen Städten höher und in nördlichen und östlichen Städten niedriger. Der Konsum von Amphetamin war zwar relativ gleichmäßig verteilt, zeigte jedoch höchste Werte im Norden und Nordosten Europa</w:t>
      </w:r>
      <w:r w:rsidR="001D021A">
        <w:t>s</w:t>
      </w:r>
      <w:r>
        <w:t>. Der Methamphetamin-Konsum, der generell niedrig und traditionell in Zentraleuropa konzentriert ist, scheint sich nun auszubreiten. Die Untersuchung der wöchentlichen Drogenkonsum</w:t>
      </w:r>
      <w:r w:rsidR="000F64A4">
        <w:t>m</w:t>
      </w:r>
      <w:r>
        <w:t>uster ergab, dass die Kokain- und Ecstasy-Mengen in den meisten Städten an den Wochenenden stark anstiegen, während der Konsum von Methamphetamin und Cannabis die gesamte Woche über gleichmäßig verteilt zu sein schien.</w:t>
      </w:r>
    </w:p>
    <w:p w:rsidR="00CF44B3" w:rsidRDefault="00CF44B3">
      <w:pPr>
        <w:spacing w:before="100" w:beforeAutospacing="1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Der Vorsitzende des EMCDDA-Verwaltungsrats, João Goulão,</w:t>
      </w:r>
      <w:r>
        <w:rPr>
          <w:rFonts w:ascii="Arial" w:hAnsi="Arial" w:cs="Arial"/>
          <w:sz w:val="20"/>
          <w:szCs w:val="20"/>
        </w:rPr>
        <w:t xml:space="preserve"> sagt: „Dieses Jahr setzt die </w:t>
      </w:r>
      <w:r w:rsidR="00590418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EMCDDA ihren Schwerpunkt auf eine Reihe neuer Herausforderungen, die von Stimulanzien und anderen Drogen ausgehen. Insbesondere </w:t>
      </w:r>
      <w:r w:rsidR="000F64A4">
        <w:rPr>
          <w:rFonts w:ascii="Arial" w:hAnsi="Arial" w:cs="Arial"/>
          <w:sz w:val="20"/>
          <w:szCs w:val="20"/>
        </w:rPr>
        <w:t>untersucht</w:t>
      </w:r>
      <w:r>
        <w:rPr>
          <w:rFonts w:ascii="Arial" w:hAnsi="Arial" w:cs="Arial"/>
          <w:sz w:val="20"/>
          <w:szCs w:val="20"/>
        </w:rPr>
        <w:t xml:space="preserve"> die Behörde die neu</w:t>
      </w:r>
      <w:r w:rsidR="00E91AC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und wachsende </w:t>
      </w:r>
      <w:r w:rsidR="005904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Evidenzbasis für Therapieprobleme in Bezug auf den Konsum von Kokain, Methamphetamin und Cannabis. Ein gemeinsames Element ist </w:t>
      </w:r>
      <w:r w:rsidR="000F64A4">
        <w:rPr>
          <w:rFonts w:ascii="Arial" w:hAnsi="Arial" w:cs="Arial"/>
          <w:sz w:val="20"/>
          <w:szCs w:val="20"/>
        </w:rPr>
        <w:t>dabei</w:t>
      </w:r>
      <w:r>
        <w:rPr>
          <w:rFonts w:ascii="Arial" w:hAnsi="Arial" w:cs="Arial"/>
          <w:sz w:val="20"/>
          <w:szCs w:val="20"/>
        </w:rPr>
        <w:t xml:space="preserve"> die Bedeutung psychosozialer Maßnahmen, die bei der Antwort auf gegenwärtige Drogenprobleme einen wertvollen Teil unserer therapeutischen Werkzeuge repräsentieren.“ </w:t>
      </w:r>
    </w:p>
    <w:sectPr w:rsidR="00CF44B3" w:rsidSect="00746940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276" w:right="1276" w:bottom="993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EE" w:rsidRDefault="00EA4BEE" w:rsidP="009A28FB">
      <w:pPr>
        <w:spacing w:after="0" w:line="240" w:lineRule="auto"/>
      </w:pPr>
      <w:r>
        <w:separator/>
      </w:r>
    </w:p>
  </w:endnote>
  <w:endnote w:type="continuationSeparator" w:id="0">
    <w:p w:rsidR="00EA4BEE" w:rsidRDefault="00EA4BEE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5" w:type="dxa"/>
      <w:tblInd w:w="-510" w:type="dxa"/>
      <w:tblBorders>
        <w:left w:val="single" w:sz="12" w:space="0" w:color="000099"/>
      </w:tblBorders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8505"/>
      <w:gridCol w:w="1310"/>
    </w:tblGrid>
    <w:tr w:rsidR="00CF44B3" w:rsidRPr="00675BEA" w:rsidTr="000A5828">
      <w:tc>
        <w:tcPr>
          <w:tcW w:w="8505" w:type="dxa"/>
        </w:tcPr>
        <w:p w:rsidR="00CF44B3" w:rsidRPr="00675BEA" w:rsidRDefault="00CF44B3" w:rsidP="00D37865">
          <w:pPr>
            <w:pStyle w:val="newsCoordinates"/>
          </w:pPr>
          <w:r w:rsidRPr="00675BEA">
            <w:rPr>
              <w:noProof/>
              <w:lang w:eastAsia="en-GB"/>
            </w:rPr>
            <w:t>Drogenperspektiven (</w:t>
          </w:r>
          <w:r w:rsidRPr="00675BEA">
            <w:rPr>
              <w:i/>
              <w:noProof/>
              <w:lang w:eastAsia="en-GB"/>
            </w:rPr>
            <w:t>Perspectives on drugs</w:t>
          </w:r>
          <w:r w:rsidR="00320A90">
            <w:rPr>
              <w:noProof/>
              <w:lang w:eastAsia="en-GB"/>
            </w:rPr>
            <w:t xml:space="preserve"> —</w:t>
          </w:r>
          <w:r w:rsidRPr="00675BEA">
            <w:rPr>
              <w:noProof/>
              <w:lang w:eastAsia="en-GB"/>
            </w:rPr>
            <w:t xml:space="preserve"> PODs) — in Englisch verfügbar unter www.emcdda.europa.eu/edr2014</w:t>
          </w:r>
        </w:p>
      </w:tc>
      <w:tc>
        <w:tcPr>
          <w:tcW w:w="1310" w:type="dxa"/>
          <w:vAlign w:val="bottom"/>
        </w:tcPr>
        <w:p w:rsidR="00CF44B3" w:rsidRPr="00675BEA" w:rsidRDefault="00CF44B3" w:rsidP="00C475E1">
          <w:pPr>
            <w:pStyle w:val="newsReference"/>
          </w:pPr>
        </w:p>
      </w:tc>
    </w:tr>
  </w:tbl>
  <w:p w:rsidR="00CF44B3" w:rsidRDefault="00CF44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7196"/>
      <w:gridCol w:w="3294"/>
    </w:tblGrid>
    <w:tr w:rsidR="00CF44B3" w:rsidRPr="00675BEA" w:rsidTr="00675BEA">
      <w:tc>
        <w:tcPr>
          <w:tcW w:w="7196" w:type="dxa"/>
        </w:tcPr>
        <w:p w:rsidR="00CF44B3" w:rsidRPr="00156ACF" w:rsidRDefault="006956AB" w:rsidP="003B00EE">
          <w:pPr>
            <w:pStyle w:val="newsCoordinates"/>
            <w:rPr>
              <w:lang w:val="el-GR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58240" behindDoc="1" locked="0" layoutInCell="1" allowOverlap="1">
                    <wp:simplePos x="0" y="0"/>
                    <wp:positionH relativeFrom="page">
                      <wp:posOffset>32384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824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N26AEAACkEAAAOAAAAZHJzL2Uyb0RvYy54bWysU02P2yAQvVfqf0DcG9vbtNpYcfaQ1fay&#10;aqOm/QEEg40KDAIaO/++A3bc7YdW2qo+IMPMezPvMWzvRqPJWfigwDa0WpWUCMuhVbZr6NcvD29u&#10;KQmR2ZZpsKKhFxHo3e71q+3ganEDPehWeIIkNtSDa2gfo6uLIvBeGBZW4ITFoARvWMSt74rWswHZ&#10;jS5uyvJ9MYBvnQcuQsDT+ylId5lfSsHjJymDiEQ3FHuLefV5PaW12G1Z3XnmesXnNtg/dGGYslh0&#10;obpnkZHvXv1BZRT3EEDGFQdTgJSKi6wB1VTlb2qOPXMia0FzgltsCv+Pln88HzxRbUPXlFhm8IqO&#10;0TPV9ZHswVo0EDxZJ58GF2pM39uDT0r5aI/uEfi3gLHil2DaBDeljdKblI5SyZh9vyy+izESPh1y&#10;PF2/rW7LfCUFq68450P8IMCQ9NNQrWxyhNXs/Bhiqszqa0o61pYMOIeb8l2Z0wJo1T4orVMw+O60&#10;156cWZoG/DabJAwpnqThTttZ0SQiy4kXLaYCn4VEw7DtaqqQRlUstIxzYWM182qL2QkmsYUFOLf2&#10;HHDOT1CRx/gl4AWRK4ONC9goC/5vbcfx2rKc8q8OTLqTBSdoLwd/vWycx+zc/HbSwD/dZ/jPF777&#10;AQAA//8DAFBLAwQUAAYACAAAACEA7IZ5/N0AAAAFAQAADwAAAGRycy9kb3ducmV2LnhtbEyOwU7D&#10;MBBE70j8g7VIXFDrtKgtCtlUCKniBDQFJI5uvI0j4nWInSb063FPcBzN6M3L1qNtxJE6XztGmE0T&#10;EMSl0zVXCO9vm8kdCB8Ua9U4JoQf8rDOLy8ylWo3cEHHXahEhLBPFYIJoU2l9KUhq/zUtcSxO7jO&#10;qhBjV0ndqSHCbSPnSbKUVtUcH4xq6dFQ+bXrLUJ/Kg5D8f0pje+2Tzcvrx+r0/MG8fpqfLgHEWgM&#10;f2M460d1yKPT3vWsvWgQFrM4RJjMb0HE+hz3CMvFCmSeyf/2+S8AAAD//wMAUEsBAi0AFAAGAAgA&#10;AAAhALaDOJL+AAAA4QEAABMAAAAAAAAAAAAAAAAAAAAAAFtDb250ZW50X1R5cGVzXS54bWxQSwEC&#10;LQAUAAYACAAAACEAOP0h/9YAAACUAQAACwAAAAAAAAAAAAAAAAAvAQAAX3JlbHMvLnJlbHNQSwEC&#10;LQAUAAYACAAAACEA5yeTdugBAAApBAAADgAAAAAAAAAAAAAAAAAuAgAAZHJzL2Uyb0RvYy54bWxQ&#10;SwECLQAUAAYACAAAACEA7IZ5/N0AAAAFAQAADwAAAAAAAAAAAAAAAABCBAAAZHJzL2Rvd25yZXYu&#10;eG1sUEsFBgAAAAAEAAQA8wAAAEw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CF44B3" w:rsidRPr="00675BEA">
            <w:t>Kontakt</w:t>
          </w:r>
          <w:r w:rsidR="00CF44B3" w:rsidRPr="00156ACF">
            <w:rPr>
              <w:lang w:val="el-GR"/>
            </w:rPr>
            <w:t xml:space="preserve">: </w:t>
          </w:r>
          <w:r w:rsidR="00CF44B3" w:rsidRPr="00675BEA">
            <w:t>Kathy</w:t>
          </w:r>
          <w:r w:rsidR="00CF44B3" w:rsidRPr="00156ACF">
            <w:rPr>
              <w:lang w:val="el-GR"/>
            </w:rPr>
            <w:t xml:space="preserve"> </w:t>
          </w:r>
          <w:r w:rsidR="00CF44B3" w:rsidRPr="00675BEA">
            <w:t>Robertson</w:t>
          </w:r>
          <w:r w:rsidR="00CF44B3" w:rsidRPr="00156ACF">
            <w:rPr>
              <w:lang w:val="el-GR"/>
            </w:rPr>
            <w:t xml:space="preserve">, </w:t>
          </w:r>
          <w:r w:rsidR="00CF44B3" w:rsidRPr="00675BEA">
            <w:t>Medienkontakte</w:t>
          </w:r>
          <w:r w:rsidR="00CF44B3" w:rsidRPr="00156ACF">
            <w:rPr>
              <w:lang w:val="el-GR"/>
            </w:rPr>
            <w:t xml:space="preserve"> </w:t>
          </w:r>
        </w:p>
        <w:p w:rsidR="00CF44B3" w:rsidRPr="00156ACF" w:rsidRDefault="00CF44B3" w:rsidP="003B00EE">
          <w:pPr>
            <w:pStyle w:val="newsCoordinates"/>
            <w:rPr>
              <w:lang w:val="el-GR"/>
            </w:rPr>
          </w:pPr>
          <w:proofErr w:type="spellStart"/>
          <w:r w:rsidRPr="00675BEA">
            <w:t>Pra</w:t>
          </w:r>
          <w:proofErr w:type="spellEnd"/>
          <w:r w:rsidRPr="00156ACF">
            <w:rPr>
              <w:lang w:val="el-GR"/>
            </w:rPr>
            <w:t>ç</w:t>
          </w:r>
          <w:r w:rsidRPr="00675BEA">
            <w:t>a</w:t>
          </w:r>
          <w:r w:rsidRPr="00156ACF">
            <w:rPr>
              <w:lang w:val="el-GR"/>
            </w:rPr>
            <w:t xml:space="preserve"> </w:t>
          </w:r>
          <w:r w:rsidRPr="00675BEA">
            <w:t>Europa</w:t>
          </w:r>
          <w:r w:rsidRPr="00156ACF">
            <w:rPr>
              <w:lang w:val="el-GR"/>
            </w:rPr>
            <w:t xml:space="preserve"> 1, </w:t>
          </w:r>
          <w:r w:rsidRPr="00675BEA">
            <w:t>Cais</w:t>
          </w:r>
          <w:r w:rsidRPr="00156ACF">
            <w:rPr>
              <w:lang w:val="el-GR"/>
            </w:rPr>
            <w:t xml:space="preserve"> </w:t>
          </w:r>
          <w:r w:rsidRPr="00675BEA">
            <w:t>do</w:t>
          </w:r>
          <w:r w:rsidRPr="00156ACF">
            <w:rPr>
              <w:lang w:val="el-GR"/>
            </w:rPr>
            <w:t xml:space="preserve"> </w:t>
          </w:r>
          <w:proofErr w:type="spellStart"/>
          <w:r w:rsidRPr="00675BEA">
            <w:t>Sodr</w:t>
          </w:r>
          <w:proofErr w:type="spellEnd"/>
          <w:r w:rsidRPr="00156ACF">
            <w:rPr>
              <w:lang w:val="el-GR"/>
            </w:rPr>
            <w:t xml:space="preserve">é, 1249-289 </w:t>
          </w:r>
          <w:r w:rsidRPr="00675BEA">
            <w:t>Lissabon</w:t>
          </w:r>
          <w:r w:rsidRPr="00156ACF">
            <w:rPr>
              <w:lang w:val="el-GR"/>
            </w:rPr>
            <w:t xml:space="preserve">, </w:t>
          </w:r>
          <w:r w:rsidRPr="00675BEA">
            <w:t>Portugal</w:t>
          </w:r>
          <w:r w:rsidRPr="00156ACF">
            <w:rPr>
              <w:lang w:val="el-GR"/>
            </w:rPr>
            <w:t xml:space="preserve"> </w:t>
          </w:r>
        </w:p>
        <w:p w:rsidR="00CF44B3" w:rsidRPr="00FE4D0C" w:rsidRDefault="00CF44B3" w:rsidP="003B00EE">
          <w:pPr>
            <w:pStyle w:val="newsCoordinates"/>
            <w:rPr>
              <w:lang w:val="en-US"/>
            </w:rPr>
          </w:pPr>
          <w:r w:rsidRPr="00FE4D0C">
            <w:rPr>
              <w:lang w:val="en-US"/>
            </w:rPr>
            <w:t xml:space="preserve">Tel. (351) 211 21 02 00 </w:t>
          </w:r>
          <w:r w:rsidRPr="00FE4D0C">
            <w:rPr>
              <w:sz w:val="18"/>
              <w:lang w:val="en-US"/>
            </w:rPr>
            <w:t xml:space="preserve">I </w:t>
          </w:r>
          <w:r w:rsidRPr="00FE4D0C">
            <w:rPr>
              <w:lang w:val="en-US"/>
            </w:rPr>
            <w:t xml:space="preserve">press@emcdda.europa.eu </w:t>
          </w:r>
          <w:r w:rsidRPr="00FE4D0C">
            <w:rPr>
              <w:sz w:val="18"/>
              <w:lang w:val="en-US"/>
            </w:rPr>
            <w:t>I</w:t>
          </w:r>
          <w:r w:rsidRPr="00FE4D0C">
            <w:rPr>
              <w:lang w:val="en-US"/>
            </w:rPr>
            <w:t xml:space="preserve"> emcdda.europa.eu</w:t>
          </w:r>
        </w:p>
      </w:tc>
      <w:tc>
        <w:tcPr>
          <w:tcW w:w="3294" w:type="dxa"/>
          <w:vAlign w:val="bottom"/>
        </w:tcPr>
        <w:p w:rsidR="00CF44B3" w:rsidRPr="00675BEA" w:rsidRDefault="00CF44B3" w:rsidP="00C475E1">
          <w:pPr>
            <w:pStyle w:val="newsReference"/>
          </w:pPr>
          <w:r w:rsidRPr="00675BEA">
            <w:t>DE — Nr. 4/2014</w:t>
          </w:r>
        </w:p>
      </w:tc>
    </w:tr>
  </w:tbl>
  <w:p w:rsidR="00CF44B3" w:rsidRDefault="00CF44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EE" w:rsidRDefault="00EA4BEE" w:rsidP="009A28FB">
      <w:pPr>
        <w:spacing w:after="0" w:line="240" w:lineRule="auto"/>
      </w:pPr>
      <w:r>
        <w:separator/>
      </w:r>
    </w:p>
  </w:footnote>
  <w:footnote w:type="continuationSeparator" w:id="0">
    <w:p w:rsidR="00EA4BEE" w:rsidRDefault="00EA4BEE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510" w:type="dxa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7196"/>
      <w:gridCol w:w="3294"/>
    </w:tblGrid>
    <w:tr w:rsidR="00CF44B3" w:rsidRPr="00675BEA" w:rsidTr="00675BEA">
      <w:tc>
        <w:tcPr>
          <w:tcW w:w="7196" w:type="dxa"/>
        </w:tcPr>
        <w:p w:rsidR="00CF44B3" w:rsidRPr="00FE4D0C" w:rsidRDefault="006956AB" w:rsidP="00320A90">
          <w:pPr>
            <w:pStyle w:val="newsEmbargo"/>
            <w:rPr>
              <w:lang w:val="en-US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57216" behindDoc="1" locked="0" layoutInCell="1" allowOverlap="1" wp14:anchorId="24BE828C" wp14:editId="3BA2EB68">
                    <wp:simplePos x="0" y="0"/>
                    <wp:positionH relativeFrom="page">
                      <wp:posOffset>5079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.4pt,-.1pt" to=".4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TH6AEAACsEAAAOAAAAZHJzL2Uyb0RvYy54bWysU02P2yAQvVfqf0DcGzvRdtW14uwhq+1l&#10;1UZN+wMIhhgVGDTQ2Pn3HXDi3X6oUqv6gAwz7828x7C+H51lJ4XRgG/5clFzpryEzvhjy798fnzz&#10;jrOYhO+EBa9aflaR329ev1oPoVEr6MF2ChmR+NgMoeV9SqGpqih75URcQFCeghrQiURbPFYdioHY&#10;na1WdX1bDYBdQJAqRjp9mIJ8U/i1VjJ91DqqxGzLqbdUVizrIa/VZi2aI4rQG3lpQ/xDF04YT0Vn&#10;qgeRBPuG5hcqZyRCBJ0WElwFWhupigZSs6x/UrPvRVBFC5kTw2xT/H+08sNph8x0dHdLzrxwdEf7&#10;hMIc+8S24D05CMgoSE4NITYE2PodZq1y9PvwBPJrpFj1QzBvYpjSRo0up5NYNhbnz7PzakxMToeS&#10;Tperm5vbcimVaK64gDG9V+BY/mm5NT57IhpxeoopVxbNNSUfW88GYrqr39YlLYI13aOxNgcjHg9b&#10;i+wk8jzQd3eXhRHFizTaWX9RNIkoctLZqqnAJ6XJMmp7OVXIw6pmWiGl8qkYVpgoO8M0tTADL639&#10;CXjJz1BVBvlvwDOiVAafZrAzHvB3bafx2rKe8q8OTLqzBQfozju8XjZNZHHu8nryyL/cF/jzG998&#10;BwAA//8DAFBLAwQUAAYACAAAACEAmY7D8doAAAACAQAADwAAAGRycy9kb3ducmV2LnhtbEyOy07D&#10;MBBF90j8gzVIbFDrUCEeIU6FkCpWPFJaiaUbT+OIeBxspwn9eoYVLK/u1bmnWE6uEwcMsfWk4HKe&#10;gUCqvWmpUbB5X81uQcSkyejOEyr4xgjL8vSk0LnxI1V4WKdGMIRirhXYlPpcylhbdDrOfY/E3d4H&#10;pxPH0EgT9Mhw18lFll1Lp1viB6t7fLRYf64Hp2A4Vvux+vqQNoa3p4uX1+3N8Xml1PnZ9HAPIuGU&#10;/sbwq8/qULLTzg9kougUsHdSMFuA4JLDjid3VyDLQv5XL38AAAD//wMAUEsBAi0AFAAGAAgAAAAh&#10;ALaDOJL+AAAA4QEAABMAAAAAAAAAAAAAAAAAAAAAAFtDb250ZW50X1R5cGVzXS54bWxQSwECLQAU&#10;AAYACAAAACEAOP0h/9YAAACUAQAACwAAAAAAAAAAAAAAAAAvAQAAX3JlbHMvLnJlbHNQSwECLQAU&#10;AAYACAAAACEA6DjUx+gBAAArBAAADgAAAAAAAAAAAAAAAAAuAgAAZHJzL2Uyb0RvYy54bWxQSwEC&#10;LQAUAAYACAAAACEAmY7D8doAAAACAQAADwAAAAAAAAAAAAAAAABCBAAAZHJzL2Rvd25yZXYueG1s&#10;UEsFBgAAAAAEAAQA8wAAAEk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CF44B3" w:rsidRPr="00FE4D0C">
            <w:rPr>
              <w:noProof/>
              <w:lang w:val="en-US" w:eastAsia="en-GB"/>
            </w:rPr>
            <w:t>Drogenperspektiven (</w:t>
          </w:r>
          <w:r w:rsidR="00CF44B3" w:rsidRPr="00FE4D0C">
            <w:rPr>
              <w:i/>
              <w:noProof/>
              <w:lang w:val="en-US" w:eastAsia="en-GB"/>
            </w:rPr>
            <w:t>Perspectives on drugs</w:t>
          </w:r>
          <w:r w:rsidR="00CF44B3" w:rsidRPr="00FE4D0C">
            <w:rPr>
              <w:noProof/>
              <w:lang w:val="en-US" w:eastAsia="en-GB"/>
            </w:rPr>
            <w:t xml:space="preserve">, PODs) </w:t>
          </w:r>
          <w:r w:rsidR="00CF44B3" w:rsidRPr="00FE4D0C">
            <w:rPr>
              <w:noProof/>
              <w:sz w:val="18"/>
              <w:lang w:val="en-US" w:eastAsia="en-GB"/>
            </w:rPr>
            <w:t>I</w:t>
          </w:r>
          <w:r w:rsidR="00CF44B3" w:rsidRPr="00FE4D0C">
            <w:rPr>
              <w:b/>
              <w:noProof/>
              <w:color w:val="003399"/>
              <w:lang w:val="en-US" w:eastAsia="en-GB"/>
            </w:rPr>
            <w:t xml:space="preserve"> </w:t>
          </w:r>
          <w:r w:rsidR="00320A90" w:rsidRPr="00F645BC">
            <w:rPr>
              <w:b/>
              <w:color w:val="FF0000"/>
            </w:rPr>
            <w:t>GESPERRT bis 10 Uhr WEZ/Lissaboner Zeit</w:t>
          </w:r>
          <w:r w:rsidR="00320A90" w:rsidRPr="00FE4D0C">
            <w:rPr>
              <w:b/>
              <w:noProof/>
              <w:color w:val="003399"/>
              <w:lang w:val="en-US" w:eastAsia="en-GB"/>
            </w:rPr>
            <w:t xml:space="preserve"> </w:t>
          </w:r>
        </w:p>
      </w:tc>
      <w:tc>
        <w:tcPr>
          <w:tcW w:w="3294" w:type="dxa"/>
          <w:vAlign w:val="bottom"/>
        </w:tcPr>
        <w:p w:rsidR="00CF44B3" w:rsidRPr="00675BEA" w:rsidRDefault="00CF44B3" w:rsidP="00C475E1">
          <w:pPr>
            <w:pStyle w:val="newsReference"/>
          </w:pPr>
          <w:r w:rsidRPr="00675BEA">
            <w:t>27.5.2014</w:t>
          </w:r>
        </w:p>
      </w:tc>
    </w:tr>
  </w:tbl>
  <w:p w:rsidR="00CF44B3" w:rsidRDefault="00CF44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8432D"/>
    <w:multiLevelType w:val="hybridMultilevel"/>
    <w:tmpl w:val="B8AE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2B3971"/>
    <w:multiLevelType w:val="hybridMultilevel"/>
    <w:tmpl w:val="E53A7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AF099F"/>
    <w:multiLevelType w:val="hybridMultilevel"/>
    <w:tmpl w:val="B2B8E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A4A56"/>
    <w:multiLevelType w:val="hybridMultilevel"/>
    <w:tmpl w:val="8A321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BC3A3B"/>
    <w:multiLevelType w:val="hybridMultilevel"/>
    <w:tmpl w:val="9BE87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9C"/>
    <w:rsid w:val="000007AF"/>
    <w:rsid w:val="00014E8E"/>
    <w:rsid w:val="00023062"/>
    <w:rsid w:val="00036DAA"/>
    <w:rsid w:val="000535B7"/>
    <w:rsid w:val="00066C5C"/>
    <w:rsid w:val="00067DD3"/>
    <w:rsid w:val="00080F9B"/>
    <w:rsid w:val="000A5828"/>
    <w:rsid w:val="000C6200"/>
    <w:rsid w:val="000C77EB"/>
    <w:rsid w:val="000D09FC"/>
    <w:rsid w:val="000D5E92"/>
    <w:rsid w:val="000F64A4"/>
    <w:rsid w:val="00105BFC"/>
    <w:rsid w:val="00107C96"/>
    <w:rsid w:val="00110D4B"/>
    <w:rsid w:val="00130564"/>
    <w:rsid w:val="00147EC6"/>
    <w:rsid w:val="00156ACF"/>
    <w:rsid w:val="00164CB4"/>
    <w:rsid w:val="00167D76"/>
    <w:rsid w:val="0017713E"/>
    <w:rsid w:val="001800D0"/>
    <w:rsid w:val="001801D4"/>
    <w:rsid w:val="001848B8"/>
    <w:rsid w:val="00187B93"/>
    <w:rsid w:val="00191616"/>
    <w:rsid w:val="001A3338"/>
    <w:rsid w:val="001B0A3C"/>
    <w:rsid w:val="001B74EB"/>
    <w:rsid w:val="001C05A8"/>
    <w:rsid w:val="001C6116"/>
    <w:rsid w:val="001C795A"/>
    <w:rsid w:val="001D021A"/>
    <w:rsid w:val="001D179B"/>
    <w:rsid w:val="001D5C26"/>
    <w:rsid w:val="001E4544"/>
    <w:rsid w:val="001F70B4"/>
    <w:rsid w:val="00216D75"/>
    <w:rsid w:val="00223753"/>
    <w:rsid w:val="00231487"/>
    <w:rsid w:val="0024165C"/>
    <w:rsid w:val="002419E2"/>
    <w:rsid w:val="002557B0"/>
    <w:rsid w:val="00257357"/>
    <w:rsid w:val="002646E4"/>
    <w:rsid w:val="00270DB1"/>
    <w:rsid w:val="0027252D"/>
    <w:rsid w:val="00274794"/>
    <w:rsid w:val="00276B02"/>
    <w:rsid w:val="0028141E"/>
    <w:rsid w:val="002948E2"/>
    <w:rsid w:val="002A4C05"/>
    <w:rsid w:val="002A61F7"/>
    <w:rsid w:val="002B05CE"/>
    <w:rsid w:val="002B45AC"/>
    <w:rsid w:val="002C02C3"/>
    <w:rsid w:val="002C04F0"/>
    <w:rsid w:val="002C31D2"/>
    <w:rsid w:val="002D0144"/>
    <w:rsid w:val="002D171F"/>
    <w:rsid w:val="002D7EE3"/>
    <w:rsid w:val="002E4882"/>
    <w:rsid w:val="00300A66"/>
    <w:rsid w:val="00303D0F"/>
    <w:rsid w:val="00320A90"/>
    <w:rsid w:val="0033158E"/>
    <w:rsid w:val="0033159F"/>
    <w:rsid w:val="00332C2A"/>
    <w:rsid w:val="00333460"/>
    <w:rsid w:val="00334C24"/>
    <w:rsid w:val="00337ECC"/>
    <w:rsid w:val="00343ECE"/>
    <w:rsid w:val="00351C0D"/>
    <w:rsid w:val="0036121D"/>
    <w:rsid w:val="00362443"/>
    <w:rsid w:val="003762FE"/>
    <w:rsid w:val="00387D02"/>
    <w:rsid w:val="0039134B"/>
    <w:rsid w:val="003A0766"/>
    <w:rsid w:val="003B00EE"/>
    <w:rsid w:val="003B41B1"/>
    <w:rsid w:val="003C0395"/>
    <w:rsid w:val="003C194C"/>
    <w:rsid w:val="003C5F39"/>
    <w:rsid w:val="003C6AF1"/>
    <w:rsid w:val="003D6508"/>
    <w:rsid w:val="003F2B9E"/>
    <w:rsid w:val="004137B0"/>
    <w:rsid w:val="0041405E"/>
    <w:rsid w:val="004221D3"/>
    <w:rsid w:val="004378E7"/>
    <w:rsid w:val="0044111C"/>
    <w:rsid w:val="00445080"/>
    <w:rsid w:val="0045468D"/>
    <w:rsid w:val="00482CE8"/>
    <w:rsid w:val="004847FB"/>
    <w:rsid w:val="00486F5E"/>
    <w:rsid w:val="00491D27"/>
    <w:rsid w:val="004A4982"/>
    <w:rsid w:val="004C3028"/>
    <w:rsid w:val="004D6E0C"/>
    <w:rsid w:val="004E1E22"/>
    <w:rsid w:val="004F2825"/>
    <w:rsid w:val="00511C15"/>
    <w:rsid w:val="005153AE"/>
    <w:rsid w:val="005162AE"/>
    <w:rsid w:val="00520EF1"/>
    <w:rsid w:val="00542CEE"/>
    <w:rsid w:val="00545BD5"/>
    <w:rsid w:val="00555226"/>
    <w:rsid w:val="00557FD9"/>
    <w:rsid w:val="005869C3"/>
    <w:rsid w:val="00587E09"/>
    <w:rsid w:val="00590418"/>
    <w:rsid w:val="005933EF"/>
    <w:rsid w:val="005944A5"/>
    <w:rsid w:val="005A0DC8"/>
    <w:rsid w:val="005B05A0"/>
    <w:rsid w:val="005B0882"/>
    <w:rsid w:val="005B1B63"/>
    <w:rsid w:val="005C13BA"/>
    <w:rsid w:val="005C4033"/>
    <w:rsid w:val="005C7C2F"/>
    <w:rsid w:val="005E3A14"/>
    <w:rsid w:val="00610C38"/>
    <w:rsid w:val="006116D9"/>
    <w:rsid w:val="00623A55"/>
    <w:rsid w:val="00623B75"/>
    <w:rsid w:val="006261FA"/>
    <w:rsid w:val="00630E58"/>
    <w:rsid w:val="0063677C"/>
    <w:rsid w:val="00666A63"/>
    <w:rsid w:val="00671508"/>
    <w:rsid w:val="00675BEA"/>
    <w:rsid w:val="00685D83"/>
    <w:rsid w:val="00686810"/>
    <w:rsid w:val="006956AB"/>
    <w:rsid w:val="006A448F"/>
    <w:rsid w:val="006B322F"/>
    <w:rsid w:val="006D17BB"/>
    <w:rsid w:val="006D2DB3"/>
    <w:rsid w:val="006D51EC"/>
    <w:rsid w:val="006D6B82"/>
    <w:rsid w:val="006E67B1"/>
    <w:rsid w:val="00705E3A"/>
    <w:rsid w:val="00730132"/>
    <w:rsid w:val="007334CA"/>
    <w:rsid w:val="007342E9"/>
    <w:rsid w:val="00746940"/>
    <w:rsid w:val="00773814"/>
    <w:rsid w:val="00774992"/>
    <w:rsid w:val="007819C2"/>
    <w:rsid w:val="00791F09"/>
    <w:rsid w:val="00794D59"/>
    <w:rsid w:val="007B0E03"/>
    <w:rsid w:val="007B1CCD"/>
    <w:rsid w:val="007B3FA7"/>
    <w:rsid w:val="007E5DE3"/>
    <w:rsid w:val="00806A62"/>
    <w:rsid w:val="00813FB5"/>
    <w:rsid w:val="00816BF3"/>
    <w:rsid w:val="008179C1"/>
    <w:rsid w:val="008301BA"/>
    <w:rsid w:val="00841E86"/>
    <w:rsid w:val="00853EEA"/>
    <w:rsid w:val="00870194"/>
    <w:rsid w:val="00881730"/>
    <w:rsid w:val="008B0F13"/>
    <w:rsid w:val="008C0886"/>
    <w:rsid w:val="008C1172"/>
    <w:rsid w:val="008C1B06"/>
    <w:rsid w:val="008C6C93"/>
    <w:rsid w:val="008D4910"/>
    <w:rsid w:val="008D54B3"/>
    <w:rsid w:val="008E6E3C"/>
    <w:rsid w:val="008F177B"/>
    <w:rsid w:val="008F399E"/>
    <w:rsid w:val="00902300"/>
    <w:rsid w:val="00913325"/>
    <w:rsid w:val="009267B0"/>
    <w:rsid w:val="0092719C"/>
    <w:rsid w:val="00944CBD"/>
    <w:rsid w:val="00955F0C"/>
    <w:rsid w:val="00974A27"/>
    <w:rsid w:val="009A28FB"/>
    <w:rsid w:val="009B1A9F"/>
    <w:rsid w:val="009B54F2"/>
    <w:rsid w:val="009D54D0"/>
    <w:rsid w:val="009D6255"/>
    <w:rsid w:val="009D7B7D"/>
    <w:rsid w:val="009F2DE5"/>
    <w:rsid w:val="009F3D99"/>
    <w:rsid w:val="009F4FB0"/>
    <w:rsid w:val="00A01AF8"/>
    <w:rsid w:val="00A0788A"/>
    <w:rsid w:val="00A136AA"/>
    <w:rsid w:val="00A15FDF"/>
    <w:rsid w:val="00A16B77"/>
    <w:rsid w:val="00A1756B"/>
    <w:rsid w:val="00A22173"/>
    <w:rsid w:val="00A311EF"/>
    <w:rsid w:val="00A3254D"/>
    <w:rsid w:val="00A346AF"/>
    <w:rsid w:val="00A34B14"/>
    <w:rsid w:val="00A44BE6"/>
    <w:rsid w:val="00A519DC"/>
    <w:rsid w:val="00A650B5"/>
    <w:rsid w:val="00A661E2"/>
    <w:rsid w:val="00A662A3"/>
    <w:rsid w:val="00A71949"/>
    <w:rsid w:val="00A74389"/>
    <w:rsid w:val="00A841A9"/>
    <w:rsid w:val="00A856B7"/>
    <w:rsid w:val="00AA15DA"/>
    <w:rsid w:val="00AA5155"/>
    <w:rsid w:val="00AA584A"/>
    <w:rsid w:val="00AB1FD1"/>
    <w:rsid w:val="00AD7BFC"/>
    <w:rsid w:val="00AE093C"/>
    <w:rsid w:val="00AE1738"/>
    <w:rsid w:val="00AF13B3"/>
    <w:rsid w:val="00AF259D"/>
    <w:rsid w:val="00AF2696"/>
    <w:rsid w:val="00B00D4D"/>
    <w:rsid w:val="00B11A35"/>
    <w:rsid w:val="00B11B73"/>
    <w:rsid w:val="00B11EB3"/>
    <w:rsid w:val="00B11F96"/>
    <w:rsid w:val="00B13F14"/>
    <w:rsid w:val="00B255C7"/>
    <w:rsid w:val="00B272F1"/>
    <w:rsid w:val="00B27941"/>
    <w:rsid w:val="00B33AAA"/>
    <w:rsid w:val="00B458EB"/>
    <w:rsid w:val="00B460E8"/>
    <w:rsid w:val="00B50AB8"/>
    <w:rsid w:val="00B51E08"/>
    <w:rsid w:val="00B57464"/>
    <w:rsid w:val="00B61036"/>
    <w:rsid w:val="00B72DD3"/>
    <w:rsid w:val="00B7335C"/>
    <w:rsid w:val="00B939A6"/>
    <w:rsid w:val="00B97BC5"/>
    <w:rsid w:val="00BA1B63"/>
    <w:rsid w:val="00BB5B77"/>
    <w:rsid w:val="00BB60CF"/>
    <w:rsid w:val="00BE21A0"/>
    <w:rsid w:val="00BE4E06"/>
    <w:rsid w:val="00BF0C8C"/>
    <w:rsid w:val="00BF1E3B"/>
    <w:rsid w:val="00BF4CCB"/>
    <w:rsid w:val="00C02367"/>
    <w:rsid w:val="00C36BC1"/>
    <w:rsid w:val="00C475E1"/>
    <w:rsid w:val="00C479D0"/>
    <w:rsid w:val="00C628C4"/>
    <w:rsid w:val="00C63254"/>
    <w:rsid w:val="00C75D9C"/>
    <w:rsid w:val="00C874C0"/>
    <w:rsid w:val="00CA2FF5"/>
    <w:rsid w:val="00CA6F07"/>
    <w:rsid w:val="00CA704F"/>
    <w:rsid w:val="00CB1D9D"/>
    <w:rsid w:val="00CB49DA"/>
    <w:rsid w:val="00CB530F"/>
    <w:rsid w:val="00CB6871"/>
    <w:rsid w:val="00CC1F19"/>
    <w:rsid w:val="00CC4FDA"/>
    <w:rsid w:val="00CC6A8B"/>
    <w:rsid w:val="00CC7AB9"/>
    <w:rsid w:val="00CC7E71"/>
    <w:rsid w:val="00CE1BE7"/>
    <w:rsid w:val="00CE2B1E"/>
    <w:rsid w:val="00CF44B3"/>
    <w:rsid w:val="00CF4EBF"/>
    <w:rsid w:val="00CF6944"/>
    <w:rsid w:val="00D00C7E"/>
    <w:rsid w:val="00D01335"/>
    <w:rsid w:val="00D03EC6"/>
    <w:rsid w:val="00D06C03"/>
    <w:rsid w:val="00D1526C"/>
    <w:rsid w:val="00D23EB6"/>
    <w:rsid w:val="00D261DF"/>
    <w:rsid w:val="00D27287"/>
    <w:rsid w:val="00D3312B"/>
    <w:rsid w:val="00D37865"/>
    <w:rsid w:val="00D45200"/>
    <w:rsid w:val="00D479B5"/>
    <w:rsid w:val="00D508E2"/>
    <w:rsid w:val="00D57367"/>
    <w:rsid w:val="00D646CB"/>
    <w:rsid w:val="00D66EBE"/>
    <w:rsid w:val="00D74AB2"/>
    <w:rsid w:val="00D84AE3"/>
    <w:rsid w:val="00D92A34"/>
    <w:rsid w:val="00DC0CD9"/>
    <w:rsid w:val="00DC7F1E"/>
    <w:rsid w:val="00DD1E75"/>
    <w:rsid w:val="00DD3BCD"/>
    <w:rsid w:val="00DD3DB5"/>
    <w:rsid w:val="00DD500F"/>
    <w:rsid w:val="00DD6346"/>
    <w:rsid w:val="00DF3987"/>
    <w:rsid w:val="00DF7C96"/>
    <w:rsid w:val="00E001FE"/>
    <w:rsid w:val="00E0331A"/>
    <w:rsid w:val="00E15F0B"/>
    <w:rsid w:val="00E16F24"/>
    <w:rsid w:val="00E232DE"/>
    <w:rsid w:val="00E35A89"/>
    <w:rsid w:val="00E413AC"/>
    <w:rsid w:val="00E57C9D"/>
    <w:rsid w:val="00E66CCD"/>
    <w:rsid w:val="00E81F3D"/>
    <w:rsid w:val="00E83FC3"/>
    <w:rsid w:val="00E86145"/>
    <w:rsid w:val="00E86B71"/>
    <w:rsid w:val="00E90C3C"/>
    <w:rsid w:val="00E9130C"/>
    <w:rsid w:val="00E91ACE"/>
    <w:rsid w:val="00E92255"/>
    <w:rsid w:val="00E9414F"/>
    <w:rsid w:val="00EA4BEE"/>
    <w:rsid w:val="00EB4F0D"/>
    <w:rsid w:val="00EB62E7"/>
    <w:rsid w:val="00ED1218"/>
    <w:rsid w:val="00EE23CC"/>
    <w:rsid w:val="00F022E8"/>
    <w:rsid w:val="00F04FA4"/>
    <w:rsid w:val="00F06CDE"/>
    <w:rsid w:val="00F15F1E"/>
    <w:rsid w:val="00F21CA9"/>
    <w:rsid w:val="00F231DD"/>
    <w:rsid w:val="00F24096"/>
    <w:rsid w:val="00F414EF"/>
    <w:rsid w:val="00F47542"/>
    <w:rsid w:val="00F557D0"/>
    <w:rsid w:val="00F73AA5"/>
    <w:rsid w:val="00F75259"/>
    <w:rsid w:val="00F848E5"/>
    <w:rsid w:val="00FA6659"/>
    <w:rsid w:val="00FB0566"/>
    <w:rsid w:val="00FB1D61"/>
    <w:rsid w:val="00FB351B"/>
    <w:rsid w:val="00FB4DAF"/>
    <w:rsid w:val="00FC0187"/>
    <w:rsid w:val="00FC3652"/>
    <w:rsid w:val="00FC66C4"/>
    <w:rsid w:val="00FD228B"/>
    <w:rsid w:val="00FD7B6F"/>
    <w:rsid w:val="00FE3721"/>
    <w:rsid w:val="00FE4789"/>
    <w:rsid w:val="00FE4D0C"/>
    <w:rsid w:val="00FE5BA6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40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uiPriority w:val="99"/>
    <w:rsid w:val="00343ECE"/>
    <w:pPr>
      <w:tabs>
        <w:tab w:val="left" w:pos="5205"/>
      </w:tabs>
      <w:spacing w:before="480" w:after="112" w:line="18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E3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A28FB"/>
    <w:rPr>
      <w:rFonts w:cs="Times New Roman"/>
    </w:rPr>
  </w:style>
  <w:style w:type="character" w:styleId="Hyperlink">
    <w:name w:val="Hyperlink"/>
    <w:uiPriority w:val="99"/>
    <w:rsid w:val="00A661E2"/>
    <w:rPr>
      <w:rFonts w:ascii="Arial" w:hAnsi="Arial" w:cs="Times New Roman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uiPriority w:val="99"/>
    <w:rsid w:val="00B50AB8"/>
    <w:pPr>
      <w:spacing w:after="300" w:line="300" w:lineRule="exact"/>
      <w:jc w:val="both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uiPriority w:val="99"/>
    <w:rsid w:val="00A519DC"/>
    <w:pPr>
      <w:spacing w:after="0" w:line="260" w:lineRule="exact"/>
    </w:pPr>
    <w:rPr>
      <w:rFonts w:ascii="Arial" w:hAnsi="Arial" w:cs="Arial"/>
      <w:color w:val="000000"/>
      <w:sz w:val="20"/>
      <w:szCs w:val="20"/>
    </w:rPr>
  </w:style>
  <w:style w:type="paragraph" w:customStyle="1" w:styleId="newsAddress">
    <w:name w:val="newsAddress"/>
    <w:basedOn w:val="Footer"/>
    <w:autoRedefine/>
    <w:uiPriority w:val="99"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uiPriority w:val="99"/>
    <w:rsid w:val="00C475E1"/>
    <w:pPr>
      <w:spacing w:after="0" w:line="200" w:lineRule="exact"/>
      <w:ind w:left="1819" w:hanging="425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uiPriority w:val="99"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uiPriority w:val="99"/>
    <w:semiHidden/>
    <w:rsid w:val="00730132"/>
    <w:rPr>
      <w:rFonts w:cs="Times New Roman"/>
      <w:color w:val="808080"/>
    </w:rPr>
  </w:style>
  <w:style w:type="paragraph" w:customStyle="1" w:styleId="newsCoordinates">
    <w:name w:val="newsCoordinates"/>
    <w:basedOn w:val="Footer"/>
    <w:autoRedefine/>
    <w:uiPriority w:val="99"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uiPriority w:val="99"/>
    <w:rsid w:val="002948E2"/>
    <w:rPr>
      <w:color w:val="000000"/>
      <w:sz w:val="15"/>
    </w:rPr>
  </w:style>
  <w:style w:type="paragraph" w:customStyle="1" w:styleId="newsDate">
    <w:name w:val="newsDate"/>
    <w:basedOn w:val="newsEmbargo"/>
    <w:autoRedefine/>
    <w:uiPriority w:val="99"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uiPriority w:val="99"/>
    <w:rsid w:val="00CB49DA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99"/>
    <w:rsid w:val="00FE4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uiPriority w:val="99"/>
    <w:rsid w:val="00D84AE3"/>
    <w:rPr>
      <w:rFonts w:ascii="Comic Sans MS" w:eastAsia="Times New Roman" w:hAnsi="Comic Sans MS"/>
      <w:color w:val="0000FF"/>
      <w:sz w:val="24"/>
      <w:lang w:val="en-US" w:eastAsia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uiPriority w:val="99"/>
    <w:rsid w:val="00CB49DA"/>
    <w:rPr>
      <w:vertAlign w:val="superscript"/>
    </w:rPr>
  </w:style>
  <w:style w:type="character" w:customStyle="1" w:styleId="newsContentChar">
    <w:name w:val="newsContent Char"/>
    <w:link w:val="newsContent"/>
    <w:uiPriority w:val="99"/>
    <w:locked/>
    <w:rsid w:val="00A519DC"/>
    <w:rPr>
      <w:rFonts w:ascii="Arial" w:hAnsi="Arial" w:cs="Arial"/>
      <w:color w:val="000000"/>
      <w:sz w:val="20"/>
      <w:szCs w:val="20"/>
    </w:rPr>
  </w:style>
  <w:style w:type="character" w:customStyle="1" w:styleId="newsNotesChar">
    <w:name w:val="newsNotes Char"/>
    <w:link w:val="newsNotes"/>
    <w:uiPriority w:val="99"/>
    <w:locked/>
    <w:rsid w:val="00CB49DA"/>
    <w:rPr>
      <w:rFonts w:ascii="Arial" w:hAnsi="Arial" w:cs="Arial"/>
      <w:color w:val="000000"/>
      <w:sz w:val="20"/>
      <w:szCs w:val="20"/>
    </w:rPr>
  </w:style>
  <w:style w:type="character" w:customStyle="1" w:styleId="newsNotesNumberChar">
    <w:name w:val="newsNotesNumber Char"/>
    <w:link w:val="newsNotesNumber"/>
    <w:uiPriority w:val="99"/>
    <w:locked/>
    <w:rsid w:val="00CB49DA"/>
    <w:rPr>
      <w:rFonts w:ascii="Arial" w:hAnsi="Arial" w:cs="Arial"/>
      <w:color w:val="000000"/>
      <w:sz w:val="20"/>
      <w:szCs w:val="20"/>
      <w:vertAlign w:val="superscript"/>
    </w:rPr>
  </w:style>
  <w:style w:type="paragraph" w:styleId="ListParagraph">
    <w:name w:val="List Paragraph"/>
    <w:basedOn w:val="Normal"/>
    <w:uiPriority w:val="99"/>
    <w:qFormat/>
    <w:rsid w:val="006261F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0D5E9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0D5E92"/>
    <w:rPr>
      <w:rFonts w:ascii="Cambria" w:hAnsi="Cambria" w:cs="Times New Roman"/>
      <w:spacing w:val="5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rsid w:val="006E6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E67B1"/>
    <w:rPr>
      <w:rFonts w:cs="Times New Roman"/>
      <w:sz w:val="20"/>
      <w:szCs w:val="20"/>
    </w:rPr>
  </w:style>
  <w:style w:type="character" w:styleId="CommentReference">
    <w:name w:val="annotation reference"/>
    <w:uiPriority w:val="99"/>
    <w:semiHidden/>
    <w:rsid w:val="00CC7AB9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A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C7AB9"/>
    <w:rPr>
      <w:rFonts w:cs="Times New Roman"/>
      <w:b/>
      <w:bCs/>
      <w:sz w:val="20"/>
      <w:szCs w:val="20"/>
    </w:rPr>
  </w:style>
  <w:style w:type="paragraph" w:customStyle="1" w:styleId="newscontent0">
    <w:name w:val="newscontent"/>
    <w:basedOn w:val="Normal"/>
    <w:uiPriority w:val="99"/>
    <w:rsid w:val="00DD3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940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uiPriority w:val="99"/>
    <w:rsid w:val="00343ECE"/>
    <w:pPr>
      <w:tabs>
        <w:tab w:val="left" w:pos="5205"/>
      </w:tabs>
      <w:spacing w:before="480" w:after="112" w:line="180" w:lineRule="exact"/>
    </w:pPr>
    <w:rPr>
      <w:rFonts w:ascii="Arial" w:hAnsi="Arial"/>
      <w:caps/>
      <w:sz w:val="26"/>
    </w:rPr>
  </w:style>
  <w:style w:type="paragraph" w:styleId="Header">
    <w:name w:val="header"/>
    <w:basedOn w:val="Normal"/>
    <w:link w:val="HeaderChar"/>
    <w:uiPriority w:val="99"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E3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A28FB"/>
    <w:rPr>
      <w:rFonts w:cs="Times New Roman"/>
    </w:rPr>
  </w:style>
  <w:style w:type="character" w:styleId="Hyperlink">
    <w:name w:val="Hyperlink"/>
    <w:uiPriority w:val="99"/>
    <w:rsid w:val="00A661E2"/>
    <w:rPr>
      <w:rFonts w:ascii="Arial" w:hAnsi="Arial" w:cs="Times New Roman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uiPriority w:val="99"/>
    <w:rsid w:val="00B50AB8"/>
    <w:pPr>
      <w:spacing w:after="300" w:line="300" w:lineRule="exact"/>
      <w:jc w:val="both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uiPriority w:val="99"/>
    <w:rsid w:val="00A519DC"/>
    <w:pPr>
      <w:spacing w:after="0" w:line="260" w:lineRule="exact"/>
    </w:pPr>
    <w:rPr>
      <w:rFonts w:ascii="Arial" w:hAnsi="Arial" w:cs="Arial"/>
      <w:color w:val="000000"/>
      <w:sz w:val="20"/>
      <w:szCs w:val="20"/>
    </w:rPr>
  </w:style>
  <w:style w:type="paragraph" w:customStyle="1" w:styleId="newsAddress">
    <w:name w:val="newsAddress"/>
    <w:basedOn w:val="Footer"/>
    <w:autoRedefine/>
    <w:uiPriority w:val="99"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uiPriority w:val="99"/>
    <w:rsid w:val="00C475E1"/>
    <w:pPr>
      <w:spacing w:after="0" w:line="200" w:lineRule="exact"/>
      <w:ind w:left="1819" w:hanging="425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uiPriority w:val="99"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uiPriority w:val="99"/>
    <w:semiHidden/>
    <w:rsid w:val="00730132"/>
    <w:rPr>
      <w:rFonts w:cs="Times New Roman"/>
      <w:color w:val="808080"/>
    </w:rPr>
  </w:style>
  <w:style w:type="paragraph" w:customStyle="1" w:styleId="newsCoordinates">
    <w:name w:val="newsCoordinates"/>
    <w:basedOn w:val="Footer"/>
    <w:autoRedefine/>
    <w:uiPriority w:val="99"/>
    <w:rsid w:val="00FC0187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uiPriority w:val="99"/>
    <w:rsid w:val="002948E2"/>
    <w:rPr>
      <w:color w:val="000000"/>
      <w:sz w:val="15"/>
    </w:rPr>
  </w:style>
  <w:style w:type="paragraph" w:customStyle="1" w:styleId="newsDate">
    <w:name w:val="newsDate"/>
    <w:basedOn w:val="newsEmbargo"/>
    <w:autoRedefine/>
    <w:uiPriority w:val="99"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uiPriority w:val="99"/>
    <w:rsid w:val="00CB49DA"/>
    <w:pPr>
      <w:spacing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99"/>
    <w:rsid w:val="00FE47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uiPriority w:val="99"/>
    <w:rsid w:val="00D84AE3"/>
    <w:rPr>
      <w:rFonts w:ascii="Comic Sans MS" w:eastAsia="Times New Roman" w:hAnsi="Comic Sans MS"/>
      <w:color w:val="0000FF"/>
      <w:sz w:val="24"/>
      <w:lang w:val="en-US" w:eastAsia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uiPriority w:val="99"/>
    <w:rsid w:val="00CB49DA"/>
    <w:rPr>
      <w:vertAlign w:val="superscript"/>
    </w:rPr>
  </w:style>
  <w:style w:type="character" w:customStyle="1" w:styleId="newsContentChar">
    <w:name w:val="newsContent Char"/>
    <w:link w:val="newsContent"/>
    <w:uiPriority w:val="99"/>
    <w:locked/>
    <w:rsid w:val="00A519DC"/>
    <w:rPr>
      <w:rFonts w:ascii="Arial" w:hAnsi="Arial" w:cs="Arial"/>
      <w:color w:val="000000"/>
      <w:sz w:val="20"/>
      <w:szCs w:val="20"/>
    </w:rPr>
  </w:style>
  <w:style w:type="character" w:customStyle="1" w:styleId="newsNotesChar">
    <w:name w:val="newsNotes Char"/>
    <w:link w:val="newsNotes"/>
    <w:uiPriority w:val="99"/>
    <w:locked/>
    <w:rsid w:val="00CB49DA"/>
    <w:rPr>
      <w:rFonts w:ascii="Arial" w:hAnsi="Arial" w:cs="Arial"/>
      <w:color w:val="000000"/>
      <w:sz w:val="20"/>
      <w:szCs w:val="20"/>
    </w:rPr>
  </w:style>
  <w:style w:type="character" w:customStyle="1" w:styleId="newsNotesNumberChar">
    <w:name w:val="newsNotesNumber Char"/>
    <w:link w:val="newsNotesNumber"/>
    <w:uiPriority w:val="99"/>
    <w:locked/>
    <w:rsid w:val="00CB49DA"/>
    <w:rPr>
      <w:rFonts w:ascii="Arial" w:hAnsi="Arial" w:cs="Arial"/>
      <w:color w:val="000000"/>
      <w:sz w:val="20"/>
      <w:szCs w:val="20"/>
      <w:vertAlign w:val="superscript"/>
    </w:rPr>
  </w:style>
  <w:style w:type="paragraph" w:styleId="ListParagraph">
    <w:name w:val="List Paragraph"/>
    <w:basedOn w:val="Normal"/>
    <w:uiPriority w:val="99"/>
    <w:qFormat/>
    <w:rsid w:val="006261F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0D5E92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0D5E92"/>
    <w:rPr>
      <w:rFonts w:ascii="Cambria" w:hAnsi="Cambria" w:cs="Times New Roman"/>
      <w:spacing w:val="5"/>
      <w:sz w:val="52"/>
      <w:szCs w:val="52"/>
    </w:rPr>
  </w:style>
  <w:style w:type="paragraph" w:styleId="CommentText">
    <w:name w:val="annotation text"/>
    <w:basedOn w:val="Normal"/>
    <w:link w:val="CommentTextChar"/>
    <w:uiPriority w:val="99"/>
    <w:rsid w:val="006E67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6E67B1"/>
    <w:rPr>
      <w:rFonts w:cs="Times New Roman"/>
      <w:sz w:val="20"/>
      <w:szCs w:val="20"/>
    </w:rPr>
  </w:style>
  <w:style w:type="character" w:styleId="CommentReference">
    <w:name w:val="annotation reference"/>
    <w:uiPriority w:val="99"/>
    <w:semiHidden/>
    <w:rsid w:val="00CC7AB9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AB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CC7AB9"/>
    <w:rPr>
      <w:rFonts w:cs="Times New Roman"/>
      <w:b/>
      <w:bCs/>
      <w:sz w:val="20"/>
      <w:szCs w:val="20"/>
    </w:rPr>
  </w:style>
  <w:style w:type="paragraph" w:customStyle="1" w:styleId="newscontent0">
    <w:name w:val="newscontent"/>
    <w:basedOn w:val="Normal"/>
    <w:uiPriority w:val="99"/>
    <w:rsid w:val="00DD3D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1227</Words>
  <Characters>8669</Characters>
  <Application>Microsoft Office Word</Application>
  <DocSecurity>0</DocSecurity>
  <Lines>72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News release EN</vt:lpstr>
      <vt:lpstr>News release EN</vt:lpstr>
    </vt:vector>
  </TitlesOfParts>
  <Company>Translation Centre</Company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EN</dc:title>
  <dc:subject>News release EN</dc:subject>
  <dc:creator>Translation Centre</dc:creator>
  <cp:lastModifiedBy>Kathryn Robertson</cp:lastModifiedBy>
  <cp:revision>12</cp:revision>
  <cp:lastPrinted>2014-05-23T08:50:00Z</cp:lastPrinted>
  <dcterms:created xsi:type="dcterms:W3CDTF">2014-05-22T16:37:00Z</dcterms:created>
  <dcterms:modified xsi:type="dcterms:W3CDTF">2014-05-23T08:50:00Z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</Properties>
</file>