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70" w:rightFromText="170" w:vertAnchor="page" w:horzAnchor="margin" w:tblpXSpec="center" w:tblpY="710"/>
        <w:tblW w:w="5615" w:type="pct"/>
        <w:tblLayout w:type="fixed"/>
        <w:tblCellMar>
          <w:left w:w="142" w:type="dxa"/>
          <w:right w:w="0" w:type="dxa"/>
        </w:tblCellMar>
        <w:tblLook w:val="0080" w:firstRow="0" w:lastRow="0" w:firstColumn="1" w:lastColumn="0" w:noHBand="0" w:noVBand="0"/>
      </w:tblPr>
      <w:tblGrid>
        <w:gridCol w:w="4972"/>
        <w:gridCol w:w="5692"/>
      </w:tblGrid>
      <w:tr w:rsidR="00F95A34" w:rsidRPr="0057051E" w:rsidTr="0057051E">
        <w:trPr>
          <w:trHeight w:val="1695"/>
        </w:trPr>
        <w:tc>
          <w:tcPr>
            <w:tcW w:w="2331" w:type="pct"/>
          </w:tcPr>
          <w:p w:rsidR="00F95A34" w:rsidRPr="0057051E" w:rsidRDefault="00440AA3" w:rsidP="0057051E">
            <w:pPr>
              <w:spacing w:after="0" w:line="240" w:lineRule="auto"/>
            </w:pPr>
            <w:r>
              <w:rPr>
                <w:noProof/>
                <w:lang w:eastAsia="en-GB"/>
              </w:rPr>
              <w:drawing>
                <wp:inline distT="0" distB="0" distL="0" distR="0">
                  <wp:extent cx="2535555" cy="61150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5555" cy="611505"/>
                          </a:xfrm>
                          <a:prstGeom prst="rect">
                            <a:avLst/>
                          </a:prstGeom>
                          <a:noFill/>
                          <a:ln>
                            <a:noFill/>
                          </a:ln>
                        </pic:spPr>
                      </pic:pic>
                    </a:graphicData>
                  </a:graphic>
                </wp:inline>
              </w:drawing>
            </w:r>
          </w:p>
        </w:tc>
        <w:tc>
          <w:tcPr>
            <w:tcW w:w="2669" w:type="pct"/>
          </w:tcPr>
          <w:p w:rsidR="00F95A34" w:rsidRPr="0057051E" w:rsidRDefault="00F95A34" w:rsidP="0057051E">
            <w:pPr>
              <w:spacing w:after="0" w:line="240" w:lineRule="auto"/>
            </w:pPr>
          </w:p>
        </w:tc>
      </w:tr>
    </w:tbl>
    <w:tbl>
      <w:tblPr>
        <w:tblW w:w="12796" w:type="dxa"/>
        <w:tblInd w:w="-1271" w:type="dxa"/>
        <w:tblCellMar>
          <w:left w:w="0" w:type="dxa"/>
          <w:right w:w="0" w:type="dxa"/>
        </w:tblCellMar>
        <w:tblLook w:val="00A0" w:firstRow="1" w:lastRow="0" w:firstColumn="1" w:lastColumn="0" w:noHBand="0" w:noVBand="0"/>
      </w:tblPr>
      <w:tblGrid>
        <w:gridCol w:w="12796"/>
      </w:tblGrid>
      <w:tr w:rsidR="00F95A34" w:rsidRPr="0057051E" w:rsidTr="0057051E">
        <w:trPr>
          <w:trHeight w:val="1304"/>
        </w:trPr>
        <w:tc>
          <w:tcPr>
            <w:tcW w:w="12796" w:type="dxa"/>
            <w:vAlign w:val="bottom"/>
          </w:tcPr>
          <w:p w:rsidR="00F95A34" w:rsidRPr="0057051E" w:rsidRDefault="00440AA3" w:rsidP="0057051E">
            <w:pPr>
              <w:spacing w:after="0" w:line="240" w:lineRule="auto"/>
            </w:pPr>
            <w:r>
              <w:rPr>
                <w:noProof/>
                <w:lang w:eastAsia="en-GB"/>
              </w:rPr>
              <w:drawing>
                <wp:inline distT="0" distB="0" distL="0" distR="0" wp14:anchorId="19B3D39A" wp14:editId="22C98A85">
                  <wp:extent cx="7562215" cy="914400"/>
                  <wp:effectExtent l="0" t="0" r="63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215" cy="914400"/>
                          </a:xfrm>
                          <a:prstGeom prst="rect">
                            <a:avLst/>
                          </a:prstGeom>
                          <a:noFill/>
                          <a:ln>
                            <a:noFill/>
                          </a:ln>
                        </pic:spPr>
                      </pic:pic>
                    </a:graphicData>
                  </a:graphic>
                </wp:inline>
              </w:drawing>
            </w:r>
          </w:p>
        </w:tc>
      </w:tr>
    </w:tbl>
    <w:p w:rsidR="00F95A34" w:rsidRPr="008D677F" w:rsidRDefault="00F95A34" w:rsidP="005604A1">
      <w:pPr>
        <w:pStyle w:val="newsTitle"/>
      </w:pPr>
      <w:r w:rsidRPr="008D677F">
        <w:t xml:space="preserve">informe europeo sobre drogas 2014 — perspectivas sobre las drogas </w:t>
      </w:r>
    </w:p>
    <w:p w:rsidR="00F95A34" w:rsidRPr="00C80E01" w:rsidRDefault="00F95A34" w:rsidP="00C80E01">
      <w:pPr>
        <w:pStyle w:val="newsSubTitle"/>
      </w:pPr>
      <w:r w:rsidRPr="00C80E01">
        <w:t xml:space="preserve">La agencia sobre drogas de la UE coloca seis cuestiones en el punto de mira, </w:t>
      </w:r>
      <w:r w:rsidR="00213045">
        <w:t xml:space="preserve">                    </w:t>
      </w:r>
      <w:r w:rsidRPr="00C80E01">
        <w:t xml:space="preserve">con nuevos análisis en línea </w:t>
      </w:r>
    </w:p>
    <w:p w:rsidR="00F95A34" w:rsidRPr="003320A1" w:rsidRDefault="00F95A34" w:rsidP="00A519DC">
      <w:pPr>
        <w:pStyle w:val="newsContent"/>
        <w:rPr>
          <w:lang w:val="es-ES"/>
        </w:rPr>
      </w:pPr>
      <w:r w:rsidRPr="003320A1">
        <w:rPr>
          <w:lang w:val="es-ES"/>
        </w:rPr>
        <w:t xml:space="preserve">(27.5.2014, LISBOA </w:t>
      </w:r>
      <w:r w:rsidRPr="00C776F4">
        <w:rPr>
          <w:b/>
          <w:color w:val="FF0000"/>
          <w:lang w:val="es-ES"/>
        </w:rPr>
        <w:t>No publicar hasta las 10.00 horas, hora de Lisboa</w:t>
      </w:r>
      <w:r w:rsidRPr="003320A1">
        <w:rPr>
          <w:lang w:val="es-ES"/>
        </w:rPr>
        <w:t xml:space="preserve">) El </w:t>
      </w:r>
      <w:r w:rsidRPr="003320A1">
        <w:rPr>
          <w:b/>
          <w:lang w:val="es-ES"/>
        </w:rPr>
        <w:t xml:space="preserve">Observatorio Europeo </w:t>
      </w:r>
      <w:r w:rsidR="000C0188">
        <w:rPr>
          <w:b/>
          <w:lang w:val="es-ES"/>
        </w:rPr>
        <w:t xml:space="preserve"> </w:t>
      </w:r>
      <w:r w:rsidRPr="003320A1">
        <w:rPr>
          <w:b/>
          <w:lang w:val="es-ES"/>
        </w:rPr>
        <w:t xml:space="preserve">de las Drogas y las Toxicomanías (EMCDDA) </w:t>
      </w:r>
      <w:r w:rsidRPr="003320A1">
        <w:rPr>
          <w:lang w:val="es-ES"/>
        </w:rPr>
        <w:t xml:space="preserve">publica hoy, junto con su </w:t>
      </w:r>
      <w:r w:rsidRPr="003320A1">
        <w:rPr>
          <w:b/>
          <w:i/>
          <w:lang w:val="es-ES"/>
        </w:rPr>
        <w:t>Informe Europeo sobre Drogas 2014: Tendencias y novedades</w:t>
      </w:r>
      <w:r w:rsidRPr="003320A1">
        <w:rPr>
          <w:lang w:val="es-ES"/>
        </w:rPr>
        <w:t xml:space="preserve">, seis nuevos estudios de la serie </w:t>
      </w:r>
      <w:r w:rsidRPr="003320A1">
        <w:rPr>
          <w:b/>
          <w:lang w:val="es-ES"/>
        </w:rPr>
        <w:t>Perspectivas sobre las drogas</w:t>
      </w:r>
      <w:r w:rsidRPr="003320A1">
        <w:rPr>
          <w:lang w:val="es-ES"/>
        </w:rPr>
        <w:t xml:space="preserve"> (</w:t>
      </w:r>
      <w:r w:rsidRPr="00213045">
        <w:rPr>
          <w:i/>
          <w:lang w:val="es-ES"/>
        </w:rPr>
        <w:t>P</w:t>
      </w:r>
      <w:r w:rsidR="00213045" w:rsidRPr="00213045">
        <w:rPr>
          <w:i/>
          <w:lang w:val="es-ES"/>
        </w:rPr>
        <w:t xml:space="preserve">erspectives on drugs — </w:t>
      </w:r>
      <w:r w:rsidR="00213045" w:rsidRPr="00213045">
        <w:rPr>
          <w:lang w:val="es-ES"/>
        </w:rPr>
        <w:t>PODs</w:t>
      </w:r>
      <w:r w:rsidRPr="003320A1">
        <w:rPr>
          <w:lang w:val="es-ES"/>
        </w:rPr>
        <w:t xml:space="preserve">). Esta última selección de análisis interactivos en línea ofrece un análisis del estado actual de seis aspectos clave de la situación de las drogas en Europa. En las </w:t>
      </w:r>
      <w:r w:rsidRPr="00213045">
        <w:rPr>
          <w:b/>
          <w:lang w:val="es-ES"/>
        </w:rPr>
        <w:t>Perspectivas sobre las drogas</w:t>
      </w:r>
      <w:r w:rsidRPr="003320A1">
        <w:rPr>
          <w:lang w:val="es-ES"/>
        </w:rPr>
        <w:t xml:space="preserve"> se examinan: nuevas preocupaciones en relación con el consumo de estimulantes; nuevas circunstancias en el mercado europeo del cannabis, así como avances en el tratamiento basado en Internet y el análisis de las aguas residuales.</w:t>
      </w:r>
    </w:p>
    <w:p w:rsidR="00F95A34" w:rsidRPr="003320A1" w:rsidRDefault="00F95A34" w:rsidP="00A519DC">
      <w:pPr>
        <w:pStyle w:val="newsContent"/>
        <w:rPr>
          <w:lang w:val="es-ES"/>
        </w:rPr>
      </w:pPr>
    </w:p>
    <w:p w:rsidR="00F95A34" w:rsidRPr="003320A1" w:rsidRDefault="00F95A34" w:rsidP="00A519DC">
      <w:pPr>
        <w:pStyle w:val="newsContent"/>
        <w:rPr>
          <w:lang w:val="es-ES"/>
        </w:rPr>
      </w:pPr>
      <w:r w:rsidRPr="003320A1">
        <w:rPr>
          <w:b/>
          <w:lang w:val="es-ES"/>
        </w:rPr>
        <w:t>Catinonas sintéticas: preocupantes brotes localizados y nacionales del consumo</w:t>
      </w:r>
      <w:r w:rsidRPr="00CA69F1">
        <w:rPr>
          <w:b/>
          <w:lang w:val="es-ES"/>
        </w:rPr>
        <w:t xml:space="preserve"> </w:t>
      </w:r>
      <w:r w:rsidR="00CA69F1" w:rsidRPr="00CA69F1">
        <w:rPr>
          <w:b/>
          <w:lang w:val="es-ES"/>
        </w:rPr>
        <w:t>inyectado</w:t>
      </w:r>
      <w:r w:rsidR="00CA69F1">
        <w:rPr>
          <w:lang w:val="es-ES"/>
        </w:rPr>
        <w:t xml:space="preserve"> </w:t>
      </w:r>
      <w:r w:rsidRPr="003320A1">
        <w:rPr>
          <w:b/>
          <w:lang w:val="es-ES"/>
        </w:rPr>
        <w:t xml:space="preserve">de estas sustancias </w:t>
      </w:r>
    </w:p>
    <w:p w:rsidR="00F95A34" w:rsidRPr="003320A1" w:rsidRDefault="00F95A34" w:rsidP="00A519DC">
      <w:pPr>
        <w:pStyle w:val="newsContent"/>
        <w:rPr>
          <w:lang w:val="es-ES"/>
        </w:rPr>
      </w:pPr>
      <w:r w:rsidRPr="003320A1">
        <w:rPr>
          <w:lang w:val="es-ES"/>
        </w:rPr>
        <w:t xml:space="preserve"> </w:t>
      </w:r>
    </w:p>
    <w:p w:rsidR="00F95A34" w:rsidRPr="003320A1" w:rsidRDefault="00F95A34" w:rsidP="006E67B1">
      <w:pPr>
        <w:spacing w:after="260" w:line="260" w:lineRule="exact"/>
        <w:rPr>
          <w:rFonts w:ascii="Arial" w:hAnsi="Arial" w:cs="Arial"/>
          <w:sz w:val="20"/>
          <w:szCs w:val="20"/>
          <w:lang w:val="es-ES"/>
        </w:rPr>
      </w:pPr>
      <w:r w:rsidRPr="003320A1">
        <w:rPr>
          <w:rFonts w:ascii="Arial" w:hAnsi="Arial" w:cs="Arial"/>
          <w:sz w:val="20"/>
          <w:szCs w:val="20"/>
          <w:lang w:val="es-ES"/>
        </w:rPr>
        <w:t xml:space="preserve">De </w:t>
      </w:r>
      <w:smartTag w:uri="urn:schemas-microsoft-com:office:smarttags" w:element="metricconverter">
        <w:smartTagPr>
          <w:attr w:name="ProductID" w:val="2005 a"/>
        </w:smartTagPr>
        <w:r w:rsidRPr="003320A1">
          <w:rPr>
            <w:rFonts w:ascii="Arial" w:hAnsi="Arial" w:cs="Arial"/>
            <w:sz w:val="20"/>
            <w:szCs w:val="20"/>
            <w:lang w:val="es-ES"/>
          </w:rPr>
          <w:t>2005 a</w:t>
        </w:r>
      </w:smartTag>
      <w:r w:rsidRPr="003320A1">
        <w:rPr>
          <w:rFonts w:ascii="Arial" w:hAnsi="Arial" w:cs="Arial"/>
          <w:sz w:val="20"/>
          <w:szCs w:val="20"/>
          <w:lang w:val="es-ES"/>
        </w:rPr>
        <w:t xml:space="preserve"> 2013 se detectaron más de 50 derivados sintéticos de la catinona (estimulantes) a través del </w:t>
      </w:r>
      <w:r w:rsidRPr="003320A1">
        <w:rPr>
          <w:rFonts w:ascii="Arial" w:hAnsi="Arial" w:cs="Arial"/>
          <w:b/>
          <w:sz w:val="20"/>
          <w:szCs w:val="20"/>
          <w:lang w:val="es-ES"/>
        </w:rPr>
        <w:t xml:space="preserve">Sistema de </w:t>
      </w:r>
      <w:r w:rsidR="001F7103">
        <w:rPr>
          <w:rFonts w:ascii="Arial" w:hAnsi="Arial" w:cs="Arial"/>
          <w:b/>
          <w:sz w:val="20"/>
          <w:szCs w:val="20"/>
          <w:lang w:val="es-ES"/>
        </w:rPr>
        <w:t>A</w:t>
      </w:r>
      <w:r w:rsidRPr="003320A1">
        <w:rPr>
          <w:rFonts w:ascii="Arial" w:hAnsi="Arial" w:cs="Arial"/>
          <w:b/>
          <w:sz w:val="20"/>
          <w:szCs w:val="20"/>
          <w:lang w:val="es-ES"/>
        </w:rPr>
        <w:t xml:space="preserve">lerta </w:t>
      </w:r>
      <w:r w:rsidR="001F7103">
        <w:rPr>
          <w:rFonts w:ascii="Arial" w:hAnsi="Arial" w:cs="Arial"/>
          <w:b/>
          <w:sz w:val="20"/>
          <w:szCs w:val="20"/>
          <w:lang w:val="es-ES"/>
        </w:rPr>
        <w:t>R</w:t>
      </w:r>
      <w:r w:rsidRPr="003320A1">
        <w:rPr>
          <w:rFonts w:ascii="Arial" w:hAnsi="Arial" w:cs="Arial"/>
          <w:b/>
          <w:sz w:val="20"/>
          <w:szCs w:val="20"/>
          <w:lang w:val="es-ES"/>
        </w:rPr>
        <w:t>ápida de la UE</w:t>
      </w:r>
      <w:r w:rsidRPr="003320A1">
        <w:rPr>
          <w:rFonts w:ascii="Arial" w:hAnsi="Arial" w:cs="Arial"/>
          <w:sz w:val="20"/>
          <w:szCs w:val="20"/>
          <w:lang w:val="es-ES"/>
        </w:rPr>
        <w:t xml:space="preserve">. Entre las sustancias sometidas al control de este Sistema se encuentran las siguientes: mefredona (sometida a medidas de control en </w:t>
      </w:r>
      <w:smartTag w:uri="urn:schemas-microsoft-com:office:smarttags" w:element="PersonName">
        <w:smartTagPr>
          <w:attr w:name="ProductID" w:val="la UE"/>
        </w:smartTagPr>
        <w:r w:rsidRPr="003320A1">
          <w:rPr>
            <w:rFonts w:ascii="Arial" w:hAnsi="Arial" w:cs="Arial"/>
            <w:sz w:val="20"/>
            <w:szCs w:val="20"/>
            <w:lang w:val="es-ES"/>
          </w:rPr>
          <w:t>la UE</w:t>
        </w:r>
      </w:smartTag>
      <w:r w:rsidRPr="003320A1">
        <w:rPr>
          <w:rFonts w:ascii="Arial" w:hAnsi="Arial" w:cs="Arial"/>
          <w:sz w:val="20"/>
          <w:szCs w:val="20"/>
          <w:lang w:val="es-ES"/>
        </w:rPr>
        <w:t xml:space="preserve"> en 2010); MDPV (en 2014 se evaluaron sus riesgos), y pentedrona. Las catinonas sintéticas pueden esnifarse en forma de polvo o ingerirse en comprimidos, pero </w:t>
      </w:r>
      <w:r w:rsidR="001D4D0D" w:rsidRPr="003320A1">
        <w:rPr>
          <w:rFonts w:ascii="Arial" w:hAnsi="Arial" w:cs="Arial"/>
          <w:sz w:val="20"/>
          <w:szCs w:val="20"/>
          <w:lang w:val="es-ES"/>
        </w:rPr>
        <w:t xml:space="preserve">hoy </w:t>
      </w:r>
      <w:r w:rsidRPr="003320A1">
        <w:rPr>
          <w:rFonts w:ascii="Arial" w:hAnsi="Arial" w:cs="Arial"/>
          <w:sz w:val="20"/>
          <w:szCs w:val="20"/>
          <w:lang w:val="es-ES"/>
        </w:rPr>
        <w:t xml:space="preserve">el </w:t>
      </w:r>
      <w:r w:rsidRPr="003320A1">
        <w:rPr>
          <w:rFonts w:ascii="Arial" w:hAnsi="Arial" w:cs="Arial"/>
          <w:b/>
          <w:sz w:val="20"/>
          <w:szCs w:val="20"/>
          <w:lang w:val="es-ES"/>
        </w:rPr>
        <w:t xml:space="preserve">EMCDDA </w:t>
      </w:r>
      <w:r w:rsidR="001D4D0D">
        <w:rPr>
          <w:rFonts w:ascii="Arial" w:hAnsi="Arial" w:cs="Arial"/>
          <w:sz w:val="20"/>
          <w:szCs w:val="20"/>
          <w:lang w:val="es-ES"/>
        </w:rPr>
        <w:t>analiza</w:t>
      </w:r>
      <w:r w:rsidR="001D4D0D" w:rsidRPr="003320A1">
        <w:rPr>
          <w:rFonts w:ascii="Arial" w:hAnsi="Arial" w:cs="Arial"/>
          <w:sz w:val="20"/>
          <w:szCs w:val="20"/>
          <w:lang w:val="es-ES"/>
        </w:rPr>
        <w:t xml:space="preserve"> </w:t>
      </w:r>
      <w:r w:rsidRPr="003320A1">
        <w:rPr>
          <w:rFonts w:ascii="Arial" w:hAnsi="Arial" w:cs="Arial"/>
          <w:sz w:val="20"/>
          <w:szCs w:val="20"/>
          <w:lang w:val="es-ES"/>
        </w:rPr>
        <w:t xml:space="preserve">los preocupantes brotes del consumo </w:t>
      </w:r>
      <w:r w:rsidR="001F7103">
        <w:rPr>
          <w:rFonts w:ascii="Arial" w:hAnsi="Arial" w:cs="Arial"/>
          <w:sz w:val="20"/>
          <w:szCs w:val="20"/>
          <w:lang w:val="es-ES"/>
        </w:rPr>
        <w:t xml:space="preserve">inyectado </w:t>
      </w:r>
      <w:r w:rsidRPr="003320A1">
        <w:rPr>
          <w:rFonts w:ascii="Arial" w:hAnsi="Arial" w:cs="Arial"/>
          <w:sz w:val="20"/>
          <w:szCs w:val="20"/>
          <w:lang w:val="es-ES"/>
        </w:rPr>
        <w:t xml:space="preserve">de estas sustancias. </w:t>
      </w:r>
    </w:p>
    <w:p w:rsidR="00F95A34" w:rsidRPr="003320A1" w:rsidRDefault="00F95A34" w:rsidP="006E67B1">
      <w:pPr>
        <w:spacing w:after="260" w:line="260" w:lineRule="exact"/>
        <w:rPr>
          <w:rFonts w:ascii="Arial" w:hAnsi="Arial" w:cs="Arial"/>
          <w:sz w:val="20"/>
          <w:szCs w:val="20"/>
          <w:lang w:val="es-ES"/>
        </w:rPr>
      </w:pPr>
      <w:r w:rsidRPr="003320A1">
        <w:rPr>
          <w:rFonts w:ascii="Arial" w:hAnsi="Arial" w:cs="Arial"/>
          <w:sz w:val="20"/>
          <w:szCs w:val="20"/>
          <w:lang w:val="es-ES"/>
        </w:rPr>
        <w:t xml:space="preserve">Aunque </w:t>
      </w:r>
      <w:r w:rsidR="001D4D0D">
        <w:rPr>
          <w:rFonts w:ascii="Arial" w:hAnsi="Arial" w:cs="Arial"/>
          <w:sz w:val="20"/>
          <w:szCs w:val="20"/>
          <w:lang w:val="es-ES"/>
        </w:rPr>
        <w:t>el consumo</w:t>
      </w:r>
      <w:r w:rsidRPr="003320A1">
        <w:rPr>
          <w:rFonts w:ascii="Arial" w:hAnsi="Arial" w:cs="Arial"/>
          <w:sz w:val="20"/>
          <w:szCs w:val="20"/>
          <w:lang w:val="es-ES"/>
        </w:rPr>
        <w:t xml:space="preserve"> </w:t>
      </w:r>
      <w:r w:rsidR="001D4D0D">
        <w:rPr>
          <w:rFonts w:ascii="Arial" w:hAnsi="Arial" w:cs="Arial"/>
          <w:sz w:val="20"/>
          <w:szCs w:val="20"/>
          <w:lang w:val="es-ES"/>
        </w:rPr>
        <w:t>inyectado</w:t>
      </w:r>
      <w:r w:rsidRPr="003320A1">
        <w:rPr>
          <w:rFonts w:ascii="Arial" w:hAnsi="Arial" w:cs="Arial"/>
          <w:sz w:val="20"/>
          <w:szCs w:val="20"/>
          <w:lang w:val="es-ES"/>
        </w:rPr>
        <w:t xml:space="preserve"> de catinonas no es un fenómeno generalizado en Europa, se ha observado como problema localizado en grupos de drogodependientes de alto riesgo en algunos países (p. ej., </w:t>
      </w:r>
      <w:r w:rsidRPr="003320A1">
        <w:rPr>
          <w:rFonts w:ascii="Arial" w:hAnsi="Arial" w:cs="Arial"/>
          <w:b/>
          <w:sz w:val="20"/>
          <w:szCs w:val="20"/>
          <w:lang w:val="es-ES"/>
        </w:rPr>
        <w:t xml:space="preserve">República Checa, Alemania, Irlanda, España, Austria, Polonia, Finlandia, Suecia </w:t>
      </w:r>
      <w:r w:rsidRPr="003320A1">
        <w:rPr>
          <w:rFonts w:ascii="Arial" w:hAnsi="Arial" w:cs="Arial"/>
          <w:sz w:val="20"/>
          <w:szCs w:val="20"/>
          <w:lang w:val="es-ES"/>
        </w:rPr>
        <w:t>y el</w:t>
      </w:r>
      <w:r w:rsidRPr="003320A1">
        <w:rPr>
          <w:rFonts w:ascii="Arial" w:hAnsi="Arial" w:cs="Arial"/>
          <w:b/>
          <w:sz w:val="20"/>
          <w:szCs w:val="20"/>
          <w:lang w:val="es-ES"/>
        </w:rPr>
        <w:t xml:space="preserve"> Reino Unido</w:t>
      </w:r>
      <w:r w:rsidRPr="003320A1">
        <w:rPr>
          <w:rFonts w:ascii="Arial" w:hAnsi="Arial" w:cs="Arial"/>
          <w:sz w:val="20"/>
          <w:szCs w:val="20"/>
          <w:lang w:val="es-ES"/>
        </w:rPr>
        <w:t xml:space="preserve">). </w:t>
      </w:r>
      <w:r w:rsidR="00D6025A">
        <w:rPr>
          <w:rFonts w:ascii="Arial" w:hAnsi="Arial" w:cs="Arial"/>
          <w:sz w:val="20"/>
          <w:szCs w:val="20"/>
          <w:lang w:val="es-ES"/>
        </w:rPr>
        <w:t>Sin embargo</w:t>
      </w:r>
      <w:r w:rsidRPr="003320A1">
        <w:rPr>
          <w:rFonts w:ascii="Arial" w:hAnsi="Arial" w:cs="Arial"/>
          <w:sz w:val="20"/>
          <w:szCs w:val="20"/>
          <w:lang w:val="es-ES"/>
        </w:rPr>
        <w:t xml:space="preserve">, en </w:t>
      </w:r>
      <w:r w:rsidRPr="003320A1">
        <w:rPr>
          <w:rFonts w:ascii="Arial" w:hAnsi="Arial" w:cs="Arial"/>
          <w:b/>
          <w:sz w:val="20"/>
          <w:szCs w:val="20"/>
          <w:lang w:val="es-ES"/>
        </w:rPr>
        <w:t xml:space="preserve">Hungría </w:t>
      </w:r>
      <w:r w:rsidRPr="003320A1">
        <w:rPr>
          <w:rFonts w:ascii="Arial" w:hAnsi="Arial" w:cs="Arial"/>
          <w:sz w:val="20"/>
          <w:szCs w:val="20"/>
          <w:lang w:val="es-ES"/>
        </w:rPr>
        <w:t>y</w:t>
      </w:r>
      <w:r w:rsidRPr="003320A1">
        <w:rPr>
          <w:rFonts w:ascii="Arial" w:hAnsi="Arial" w:cs="Arial"/>
          <w:b/>
          <w:sz w:val="20"/>
          <w:szCs w:val="20"/>
          <w:lang w:val="es-ES"/>
        </w:rPr>
        <w:t xml:space="preserve"> Rumanía</w:t>
      </w:r>
      <w:r w:rsidRPr="003320A1">
        <w:rPr>
          <w:rFonts w:ascii="Arial" w:hAnsi="Arial" w:cs="Arial"/>
          <w:sz w:val="20"/>
          <w:szCs w:val="20"/>
          <w:lang w:val="es-ES"/>
        </w:rPr>
        <w:t xml:space="preserve"> está más generalizada la práctica de consumo </w:t>
      </w:r>
      <w:r w:rsidR="00D6025A">
        <w:rPr>
          <w:rFonts w:ascii="Arial" w:hAnsi="Arial" w:cs="Arial"/>
          <w:sz w:val="20"/>
          <w:szCs w:val="20"/>
          <w:lang w:val="es-ES"/>
        </w:rPr>
        <w:t xml:space="preserve">inyectado </w:t>
      </w:r>
      <w:r w:rsidRPr="003320A1">
        <w:rPr>
          <w:rFonts w:ascii="Arial" w:hAnsi="Arial" w:cs="Arial"/>
          <w:sz w:val="20"/>
          <w:szCs w:val="20"/>
          <w:lang w:val="es-ES"/>
        </w:rPr>
        <w:t xml:space="preserve">de estas drogas. Un estudio de ámbito nacional de los programas de intercambio de agujas y jeringuillas realizado en </w:t>
      </w:r>
      <w:r w:rsidRPr="003320A1">
        <w:rPr>
          <w:rFonts w:ascii="Arial" w:hAnsi="Arial" w:cs="Arial"/>
          <w:b/>
          <w:sz w:val="20"/>
          <w:szCs w:val="20"/>
          <w:lang w:val="es-ES"/>
        </w:rPr>
        <w:t>Hungría</w:t>
      </w:r>
      <w:r w:rsidRPr="003320A1">
        <w:rPr>
          <w:rFonts w:ascii="Arial" w:hAnsi="Arial" w:cs="Arial"/>
          <w:sz w:val="20"/>
          <w:szCs w:val="20"/>
          <w:lang w:val="es-ES"/>
        </w:rPr>
        <w:t xml:space="preserve">, por ejemplo, mostró que en 2012, un 36 % de los pacientes consumían catinonas </w:t>
      </w:r>
      <w:r w:rsidR="00577735">
        <w:rPr>
          <w:rFonts w:ascii="Arial" w:hAnsi="Arial" w:cs="Arial"/>
          <w:sz w:val="20"/>
          <w:szCs w:val="20"/>
          <w:lang w:val="es-ES"/>
        </w:rPr>
        <w:t>inyectadas</w:t>
      </w:r>
      <w:r w:rsidRPr="003320A1">
        <w:rPr>
          <w:rFonts w:ascii="Arial" w:hAnsi="Arial" w:cs="Arial"/>
          <w:sz w:val="20"/>
          <w:szCs w:val="20"/>
          <w:lang w:val="es-ES"/>
        </w:rPr>
        <w:t xml:space="preserve"> como droga principal. </w:t>
      </w:r>
    </w:p>
    <w:p w:rsidR="00F95A34" w:rsidRPr="003320A1" w:rsidRDefault="00F95A34" w:rsidP="006E67B1">
      <w:pPr>
        <w:spacing w:after="260" w:line="260" w:lineRule="exact"/>
        <w:rPr>
          <w:sz w:val="20"/>
          <w:szCs w:val="20"/>
          <w:lang w:val="es-ES"/>
        </w:rPr>
      </w:pPr>
      <w:r w:rsidRPr="003320A1">
        <w:rPr>
          <w:rFonts w:ascii="Arial" w:hAnsi="Arial" w:cs="Arial"/>
          <w:sz w:val="20"/>
          <w:szCs w:val="20"/>
          <w:lang w:val="es-ES"/>
        </w:rPr>
        <w:t xml:space="preserve">Un comportamiento que suscita cada vez más </w:t>
      </w:r>
      <w:r w:rsidR="00577735">
        <w:rPr>
          <w:rFonts w:ascii="Arial" w:hAnsi="Arial" w:cs="Arial"/>
          <w:sz w:val="20"/>
          <w:szCs w:val="20"/>
          <w:lang w:val="es-ES"/>
        </w:rPr>
        <w:t>inquietud</w:t>
      </w:r>
      <w:r w:rsidR="00577735" w:rsidRPr="003320A1">
        <w:rPr>
          <w:rFonts w:ascii="Arial" w:hAnsi="Arial" w:cs="Arial"/>
          <w:sz w:val="20"/>
          <w:szCs w:val="20"/>
          <w:lang w:val="es-ES"/>
        </w:rPr>
        <w:t xml:space="preserve"> </w:t>
      </w:r>
      <w:r w:rsidRPr="003320A1">
        <w:rPr>
          <w:rFonts w:ascii="Arial" w:hAnsi="Arial" w:cs="Arial"/>
          <w:sz w:val="20"/>
          <w:szCs w:val="20"/>
          <w:lang w:val="es-ES"/>
        </w:rPr>
        <w:t xml:space="preserve">—observado en subgrupos de </w:t>
      </w:r>
      <w:r>
        <w:rPr>
          <w:rFonts w:ascii="Arial" w:hAnsi="Arial" w:cs="Arial"/>
          <w:sz w:val="20"/>
          <w:szCs w:val="20"/>
          <w:lang w:val="es-ES"/>
        </w:rPr>
        <w:t>hombres</w:t>
      </w:r>
      <w:r w:rsidRPr="003320A1">
        <w:rPr>
          <w:rFonts w:ascii="Arial" w:hAnsi="Arial" w:cs="Arial"/>
          <w:sz w:val="20"/>
          <w:szCs w:val="20"/>
          <w:lang w:val="es-ES"/>
        </w:rPr>
        <w:t xml:space="preserve"> que</w:t>
      </w:r>
      <w:r>
        <w:rPr>
          <w:rFonts w:ascii="Arial" w:hAnsi="Arial" w:cs="Arial"/>
          <w:sz w:val="20"/>
          <w:szCs w:val="20"/>
          <w:lang w:val="es-ES"/>
        </w:rPr>
        <w:t xml:space="preserve"> tienen relaciones sexuales con hombres</w:t>
      </w:r>
      <w:r w:rsidRPr="003320A1">
        <w:rPr>
          <w:rFonts w:ascii="Arial" w:hAnsi="Arial" w:cs="Arial"/>
          <w:sz w:val="20"/>
          <w:szCs w:val="20"/>
          <w:lang w:val="es-ES"/>
        </w:rPr>
        <w:t xml:space="preserve"> (H</w:t>
      </w:r>
      <w:r>
        <w:rPr>
          <w:rFonts w:ascii="Arial" w:hAnsi="Arial" w:cs="Arial"/>
          <w:sz w:val="20"/>
          <w:szCs w:val="20"/>
          <w:lang w:val="es-ES"/>
        </w:rPr>
        <w:t>SH</w:t>
      </w:r>
      <w:r w:rsidRPr="003320A1">
        <w:rPr>
          <w:rFonts w:ascii="Arial" w:hAnsi="Arial" w:cs="Arial"/>
          <w:sz w:val="20"/>
          <w:szCs w:val="20"/>
          <w:lang w:val="es-ES"/>
        </w:rPr>
        <w:t xml:space="preserve">)— es el consumo </w:t>
      </w:r>
      <w:r w:rsidR="00577735">
        <w:rPr>
          <w:rFonts w:ascii="Arial" w:hAnsi="Arial" w:cs="Arial"/>
          <w:sz w:val="20"/>
          <w:szCs w:val="20"/>
          <w:lang w:val="es-ES"/>
        </w:rPr>
        <w:t xml:space="preserve">inyectado </w:t>
      </w:r>
      <w:r w:rsidRPr="003320A1">
        <w:rPr>
          <w:rFonts w:ascii="Arial" w:hAnsi="Arial" w:cs="Arial"/>
          <w:sz w:val="20"/>
          <w:szCs w:val="20"/>
          <w:lang w:val="es-ES"/>
        </w:rPr>
        <w:t xml:space="preserve">de varias drogas ilegales </w:t>
      </w:r>
      <w:r w:rsidR="00C776F4">
        <w:rPr>
          <w:rFonts w:ascii="Arial" w:hAnsi="Arial" w:cs="Arial"/>
          <w:sz w:val="20"/>
          <w:szCs w:val="20"/>
          <w:lang w:val="es-ES"/>
        </w:rPr>
        <w:t xml:space="preserve">   </w:t>
      </w:r>
      <w:r w:rsidRPr="003320A1">
        <w:rPr>
          <w:rFonts w:ascii="Arial" w:hAnsi="Arial" w:cs="Arial"/>
          <w:sz w:val="20"/>
          <w:szCs w:val="20"/>
          <w:lang w:val="es-ES"/>
        </w:rPr>
        <w:t xml:space="preserve">(p. ej., catinonas y metanfetamina) en las denominadas fiestas de </w:t>
      </w:r>
      <w:r w:rsidR="00577735" w:rsidRPr="003320A1">
        <w:rPr>
          <w:rFonts w:ascii="Arial" w:hAnsi="Arial" w:cs="Arial"/>
          <w:sz w:val="20"/>
          <w:szCs w:val="20"/>
          <w:lang w:val="es-ES"/>
        </w:rPr>
        <w:t>«</w:t>
      </w:r>
      <w:r w:rsidRPr="003320A1">
        <w:rPr>
          <w:rFonts w:ascii="Arial" w:hAnsi="Arial" w:cs="Arial"/>
          <w:sz w:val="20"/>
          <w:szCs w:val="20"/>
          <w:lang w:val="es-ES"/>
        </w:rPr>
        <w:t xml:space="preserve">sexo </w:t>
      </w:r>
      <w:r w:rsidR="00577735">
        <w:rPr>
          <w:rFonts w:ascii="Arial" w:hAnsi="Arial" w:cs="Arial"/>
          <w:sz w:val="20"/>
          <w:szCs w:val="20"/>
          <w:lang w:val="es-ES"/>
        </w:rPr>
        <w:t>con drogas</w:t>
      </w:r>
      <w:r w:rsidRPr="003320A1">
        <w:rPr>
          <w:rFonts w:ascii="Arial" w:hAnsi="Arial" w:cs="Arial"/>
          <w:sz w:val="20"/>
          <w:szCs w:val="20"/>
          <w:lang w:val="es-ES"/>
        </w:rPr>
        <w:t>».</w:t>
      </w:r>
      <w:r w:rsidR="00C776F4">
        <w:rPr>
          <w:rFonts w:ascii="Arial" w:hAnsi="Arial" w:cs="Arial"/>
          <w:sz w:val="20"/>
          <w:szCs w:val="20"/>
          <w:lang w:val="es-ES"/>
        </w:rPr>
        <w:t xml:space="preserve"> </w:t>
      </w:r>
      <w:r w:rsidRPr="003320A1">
        <w:rPr>
          <w:rFonts w:ascii="Arial" w:hAnsi="Arial" w:cs="Arial"/>
          <w:sz w:val="20"/>
          <w:szCs w:val="20"/>
          <w:lang w:val="es-ES"/>
        </w:rPr>
        <w:t xml:space="preserve">Hasta la fecha, esta nueva práctica, asociada con prácticas sexuales de riesgo, se ha detectado en varias grandes ciudades. Habida cuenta de la posible repercusión que pueden tener las nuevas pautas identificadas de consumo </w:t>
      </w:r>
      <w:r w:rsidR="006C78C4">
        <w:rPr>
          <w:rFonts w:ascii="Arial" w:hAnsi="Arial" w:cs="Arial"/>
          <w:sz w:val="20"/>
          <w:szCs w:val="20"/>
          <w:lang w:val="es-ES"/>
        </w:rPr>
        <w:t xml:space="preserve">injectado </w:t>
      </w:r>
      <w:r w:rsidRPr="003320A1">
        <w:rPr>
          <w:rFonts w:ascii="Arial" w:hAnsi="Arial" w:cs="Arial"/>
          <w:sz w:val="20"/>
          <w:szCs w:val="20"/>
          <w:lang w:val="es-ES"/>
        </w:rPr>
        <w:t xml:space="preserve">de catinona, la estrecha vigilancia de las mismas es una prioridad </w:t>
      </w:r>
      <w:r w:rsidR="006C78C4">
        <w:rPr>
          <w:rFonts w:ascii="Arial" w:hAnsi="Arial" w:cs="Arial"/>
          <w:sz w:val="20"/>
          <w:szCs w:val="20"/>
          <w:lang w:val="es-ES"/>
        </w:rPr>
        <w:t>de</w:t>
      </w:r>
      <w:r w:rsidRPr="003320A1">
        <w:rPr>
          <w:rFonts w:ascii="Arial" w:hAnsi="Arial" w:cs="Arial"/>
          <w:sz w:val="20"/>
          <w:szCs w:val="20"/>
          <w:lang w:val="es-ES"/>
        </w:rPr>
        <w:t xml:space="preserve"> salud pública. </w:t>
      </w:r>
    </w:p>
    <w:p w:rsidR="00F95A34" w:rsidRPr="003320A1" w:rsidRDefault="00F95A34" w:rsidP="006E281E">
      <w:pPr>
        <w:keepNext/>
        <w:keepLines/>
        <w:rPr>
          <w:rFonts w:ascii="Arial" w:hAnsi="Arial" w:cs="Arial"/>
          <w:b/>
          <w:sz w:val="20"/>
          <w:szCs w:val="20"/>
          <w:lang w:val="es-ES"/>
        </w:rPr>
      </w:pPr>
      <w:r w:rsidRPr="003320A1">
        <w:rPr>
          <w:rFonts w:ascii="Arial" w:hAnsi="Arial" w:cs="Arial"/>
          <w:b/>
          <w:sz w:val="20"/>
          <w:szCs w:val="20"/>
          <w:lang w:val="es-ES"/>
        </w:rPr>
        <w:lastRenderedPageBreak/>
        <w:t>Metanfetamina: preocupación creciente por las nuevas y diversas pautas de consumo</w:t>
      </w:r>
    </w:p>
    <w:p w:rsidR="00F95A34" w:rsidRPr="003320A1" w:rsidRDefault="00F95A34" w:rsidP="006E281E">
      <w:pPr>
        <w:keepNext/>
        <w:keepLines/>
        <w:spacing w:after="260" w:line="260" w:lineRule="exact"/>
        <w:ind w:right="-285"/>
        <w:rPr>
          <w:rFonts w:ascii="Arial" w:hAnsi="Arial" w:cs="Arial"/>
          <w:sz w:val="20"/>
          <w:szCs w:val="20"/>
          <w:lang w:val="es-ES"/>
        </w:rPr>
      </w:pPr>
      <w:r w:rsidRPr="003320A1">
        <w:rPr>
          <w:rFonts w:ascii="Arial" w:hAnsi="Arial" w:cs="Arial"/>
          <w:sz w:val="20"/>
          <w:szCs w:val="20"/>
          <w:lang w:val="es-ES"/>
        </w:rPr>
        <w:t xml:space="preserve">La metanfetamina es una droga estimulante </w:t>
      </w:r>
      <w:r w:rsidR="00721E67">
        <w:rPr>
          <w:rFonts w:ascii="Arial" w:hAnsi="Arial" w:cs="Arial"/>
          <w:sz w:val="20"/>
          <w:szCs w:val="20"/>
          <w:lang w:val="es-ES"/>
        </w:rPr>
        <w:t>consumida</w:t>
      </w:r>
      <w:r w:rsidRPr="003320A1">
        <w:rPr>
          <w:rFonts w:ascii="Arial" w:hAnsi="Arial" w:cs="Arial"/>
          <w:sz w:val="20"/>
          <w:szCs w:val="20"/>
          <w:lang w:val="es-ES"/>
        </w:rPr>
        <w:t xml:space="preserve"> en muchas partes del mundo (p. ej., en el sudeste asiático, en Estados Unidos), donde ha causado importantes problemas de salud pública desde hace tiempo. Aunque el consumo de metanfetamina en Europa </w:t>
      </w:r>
      <w:r>
        <w:rPr>
          <w:rFonts w:ascii="Arial" w:hAnsi="Arial" w:cs="Arial"/>
          <w:sz w:val="20"/>
          <w:szCs w:val="20"/>
          <w:lang w:val="es-ES"/>
        </w:rPr>
        <w:t xml:space="preserve">se ha limitado </w:t>
      </w:r>
      <w:r w:rsidRPr="003320A1">
        <w:rPr>
          <w:rFonts w:ascii="Arial" w:hAnsi="Arial" w:cs="Arial"/>
          <w:sz w:val="20"/>
          <w:szCs w:val="20"/>
          <w:lang w:val="es-ES"/>
        </w:rPr>
        <w:t xml:space="preserve">históricamente a </w:t>
      </w:r>
      <w:smartTag w:uri="urn:schemas-microsoft-com:office:smarttags" w:element="PersonName">
        <w:smartTagPr>
          <w:attr w:name="ProductID" w:val="la República Checa"/>
        </w:smartTagPr>
        <w:r w:rsidRPr="003320A1">
          <w:rPr>
            <w:rFonts w:ascii="Arial" w:hAnsi="Arial" w:cs="Arial"/>
            <w:sz w:val="20"/>
            <w:szCs w:val="20"/>
            <w:lang w:val="es-ES"/>
          </w:rPr>
          <w:t xml:space="preserve">la </w:t>
        </w:r>
        <w:r w:rsidRPr="003320A1">
          <w:rPr>
            <w:rFonts w:ascii="Arial" w:hAnsi="Arial" w:cs="Arial"/>
            <w:b/>
            <w:sz w:val="20"/>
            <w:szCs w:val="20"/>
            <w:lang w:val="es-ES"/>
          </w:rPr>
          <w:t>República Checa</w:t>
        </w:r>
      </w:smartTag>
      <w:r w:rsidRPr="003320A1">
        <w:rPr>
          <w:rFonts w:ascii="Arial" w:hAnsi="Arial" w:cs="Arial"/>
          <w:sz w:val="20"/>
          <w:szCs w:val="20"/>
          <w:lang w:val="es-ES"/>
        </w:rPr>
        <w:t xml:space="preserve"> y </w:t>
      </w:r>
      <w:r w:rsidRPr="003320A1">
        <w:rPr>
          <w:rFonts w:ascii="Arial" w:hAnsi="Arial" w:cs="Arial"/>
          <w:b/>
          <w:sz w:val="20"/>
          <w:szCs w:val="20"/>
          <w:lang w:val="es-ES"/>
        </w:rPr>
        <w:t>Eslovaquia</w:t>
      </w:r>
      <w:r w:rsidRPr="003320A1">
        <w:rPr>
          <w:rFonts w:ascii="Arial" w:hAnsi="Arial" w:cs="Arial"/>
          <w:sz w:val="20"/>
          <w:szCs w:val="20"/>
          <w:lang w:val="es-ES"/>
        </w:rPr>
        <w:t>, en la actualidad han aparecido nuevos focos y pautas de consumo en otros lugares y en diversas poblaciones. Entre los ejemplos</w:t>
      </w:r>
      <w:r w:rsidR="006E4123">
        <w:rPr>
          <w:rFonts w:ascii="Arial" w:hAnsi="Arial" w:cs="Arial"/>
          <w:sz w:val="20"/>
          <w:szCs w:val="20"/>
          <w:lang w:val="es-ES"/>
        </w:rPr>
        <w:t xml:space="preserve"> de estas pautas</w:t>
      </w:r>
      <w:r w:rsidRPr="003320A1">
        <w:rPr>
          <w:rFonts w:ascii="Arial" w:hAnsi="Arial" w:cs="Arial"/>
          <w:sz w:val="20"/>
          <w:szCs w:val="20"/>
          <w:lang w:val="es-ES"/>
        </w:rPr>
        <w:t>, cabe mencionar: metanfetamina (</w:t>
      </w:r>
      <w:r w:rsidR="00721E67">
        <w:rPr>
          <w:rFonts w:ascii="Arial" w:hAnsi="Arial" w:cs="Arial"/>
          <w:sz w:val="20"/>
          <w:szCs w:val="20"/>
          <w:lang w:val="es-ES"/>
        </w:rPr>
        <w:t xml:space="preserve">en </w:t>
      </w:r>
      <w:r w:rsidRPr="003320A1">
        <w:rPr>
          <w:rFonts w:ascii="Arial" w:hAnsi="Arial" w:cs="Arial"/>
          <w:sz w:val="20"/>
          <w:szCs w:val="20"/>
          <w:lang w:val="es-ES"/>
        </w:rPr>
        <w:t xml:space="preserve">polvo) </w:t>
      </w:r>
      <w:r w:rsidRPr="003320A1">
        <w:rPr>
          <w:rFonts w:ascii="Arial" w:hAnsi="Arial" w:cs="Arial"/>
          <w:i/>
          <w:sz w:val="20"/>
          <w:szCs w:val="20"/>
          <w:lang w:val="es-ES"/>
        </w:rPr>
        <w:t>esnifada</w:t>
      </w:r>
      <w:r w:rsidRPr="003320A1">
        <w:rPr>
          <w:rFonts w:ascii="Arial" w:hAnsi="Arial" w:cs="Arial"/>
          <w:sz w:val="20"/>
          <w:szCs w:val="20"/>
          <w:lang w:val="es-ES"/>
        </w:rPr>
        <w:t xml:space="preserve"> con carácter recreativo en </w:t>
      </w:r>
      <w:r w:rsidRPr="003320A1">
        <w:rPr>
          <w:rFonts w:ascii="Arial" w:hAnsi="Arial" w:cs="Arial"/>
          <w:b/>
          <w:sz w:val="20"/>
          <w:szCs w:val="20"/>
          <w:lang w:val="es-ES"/>
        </w:rPr>
        <w:t>Alemania</w:t>
      </w:r>
      <w:r w:rsidR="00721E67">
        <w:rPr>
          <w:rFonts w:ascii="Arial" w:hAnsi="Arial" w:cs="Arial"/>
          <w:sz w:val="20"/>
          <w:szCs w:val="20"/>
          <w:lang w:val="es-ES"/>
        </w:rPr>
        <w:t>,</w:t>
      </w:r>
      <w:r w:rsidRPr="003320A1">
        <w:rPr>
          <w:rFonts w:ascii="Arial" w:hAnsi="Arial" w:cs="Arial"/>
          <w:sz w:val="20"/>
          <w:szCs w:val="20"/>
          <w:lang w:val="es-ES"/>
        </w:rPr>
        <w:t xml:space="preserve"> «metanfetamina cristali</w:t>
      </w:r>
      <w:r w:rsidR="00721E67">
        <w:rPr>
          <w:rFonts w:ascii="Arial" w:hAnsi="Arial" w:cs="Arial"/>
          <w:sz w:val="20"/>
          <w:szCs w:val="20"/>
          <w:lang w:val="es-ES"/>
        </w:rPr>
        <w:t>na</w:t>
      </w:r>
      <w:r w:rsidRPr="003320A1">
        <w:rPr>
          <w:rFonts w:ascii="Arial" w:hAnsi="Arial" w:cs="Arial"/>
          <w:sz w:val="20"/>
          <w:szCs w:val="20"/>
          <w:lang w:val="es-ES"/>
        </w:rPr>
        <w:t xml:space="preserve">» </w:t>
      </w:r>
      <w:r w:rsidRPr="003320A1">
        <w:rPr>
          <w:rFonts w:ascii="Arial" w:hAnsi="Arial" w:cs="Arial"/>
          <w:i/>
          <w:sz w:val="20"/>
          <w:szCs w:val="20"/>
          <w:lang w:val="es-ES"/>
        </w:rPr>
        <w:t xml:space="preserve">fumada </w:t>
      </w:r>
      <w:r w:rsidRPr="003320A1">
        <w:rPr>
          <w:rFonts w:ascii="Arial" w:hAnsi="Arial" w:cs="Arial"/>
          <w:sz w:val="20"/>
          <w:szCs w:val="20"/>
          <w:lang w:val="es-ES"/>
        </w:rPr>
        <w:t xml:space="preserve">por </w:t>
      </w:r>
      <w:r w:rsidR="00721E67">
        <w:rPr>
          <w:rFonts w:ascii="Arial" w:hAnsi="Arial" w:cs="Arial"/>
          <w:sz w:val="20"/>
          <w:szCs w:val="20"/>
          <w:lang w:val="es-ES"/>
        </w:rPr>
        <w:t xml:space="preserve">inyectadores </w:t>
      </w:r>
      <w:r w:rsidRPr="003320A1">
        <w:rPr>
          <w:rFonts w:ascii="Arial" w:hAnsi="Arial" w:cs="Arial"/>
          <w:sz w:val="20"/>
          <w:szCs w:val="20"/>
          <w:lang w:val="es-ES"/>
        </w:rPr>
        <w:t xml:space="preserve">de opiáceos en </w:t>
      </w:r>
      <w:r w:rsidRPr="003320A1">
        <w:rPr>
          <w:rFonts w:ascii="Arial" w:hAnsi="Arial" w:cs="Arial"/>
          <w:b/>
          <w:sz w:val="20"/>
          <w:szCs w:val="20"/>
          <w:lang w:val="es-ES"/>
        </w:rPr>
        <w:t>Grecia, Chipre</w:t>
      </w:r>
      <w:r w:rsidRPr="003320A1">
        <w:rPr>
          <w:rFonts w:ascii="Arial" w:hAnsi="Arial" w:cs="Arial"/>
          <w:sz w:val="20"/>
          <w:szCs w:val="20"/>
          <w:lang w:val="es-ES"/>
        </w:rPr>
        <w:t xml:space="preserve"> y </w:t>
      </w:r>
      <w:r w:rsidRPr="003320A1">
        <w:rPr>
          <w:rFonts w:ascii="Arial" w:hAnsi="Arial" w:cs="Arial"/>
          <w:b/>
          <w:sz w:val="20"/>
          <w:szCs w:val="20"/>
          <w:lang w:val="es-ES"/>
        </w:rPr>
        <w:t>Turquía</w:t>
      </w:r>
      <w:r w:rsidRPr="003320A1">
        <w:rPr>
          <w:rFonts w:ascii="Arial" w:hAnsi="Arial" w:cs="Arial"/>
          <w:sz w:val="20"/>
          <w:szCs w:val="20"/>
          <w:lang w:val="es-ES"/>
        </w:rPr>
        <w:t xml:space="preserve"> y </w:t>
      </w:r>
      <w:r w:rsidR="00721E67">
        <w:rPr>
          <w:rFonts w:ascii="Arial" w:hAnsi="Arial" w:cs="Arial"/>
          <w:sz w:val="20"/>
          <w:szCs w:val="20"/>
          <w:lang w:val="es-ES"/>
        </w:rPr>
        <w:t xml:space="preserve">el consumo inyectado de </w:t>
      </w:r>
      <w:r w:rsidRPr="003320A1">
        <w:rPr>
          <w:rFonts w:ascii="Arial" w:hAnsi="Arial" w:cs="Arial"/>
          <w:sz w:val="20"/>
          <w:szCs w:val="20"/>
          <w:lang w:val="es-ES"/>
        </w:rPr>
        <w:t xml:space="preserve">metanfetamina entre </w:t>
      </w:r>
      <w:r w:rsidR="006E4123">
        <w:rPr>
          <w:rFonts w:ascii="Arial" w:hAnsi="Arial" w:cs="Arial"/>
          <w:sz w:val="20"/>
          <w:szCs w:val="20"/>
          <w:lang w:val="es-ES"/>
        </w:rPr>
        <w:t>H</w:t>
      </w:r>
      <w:r w:rsidR="00721E67">
        <w:rPr>
          <w:rFonts w:ascii="Arial" w:hAnsi="Arial" w:cs="Arial"/>
          <w:sz w:val="20"/>
          <w:szCs w:val="20"/>
          <w:lang w:val="es-ES"/>
        </w:rPr>
        <w:t>S</w:t>
      </w:r>
      <w:r w:rsidR="006E4123">
        <w:rPr>
          <w:rFonts w:ascii="Arial" w:hAnsi="Arial" w:cs="Arial"/>
          <w:sz w:val="20"/>
          <w:szCs w:val="20"/>
          <w:lang w:val="es-ES"/>
        </w:rPr>
        <w:t>H</w:t>
      </w:r>
      <w:r w:rsidR="00721E67">
        <w:rPr>
          <w:rFonts w:ascii="Arial" w:hAnsi="Arial" w:cs="Arial"/>
          <w:sz w:val="20"/>
          <w:szCs w:val="20"/>
          <w:lang w:val="es-ES"/>
        </w:rPr>
        <w:t xml:space="preserve"> </w:t>
      </w:r>
      <w:r w:rsidRPr="003320A1">
        <w:rPr>
          <w:rFonts w:ascii="Arial" w:hAnsi="Arial" w:cs="Arial"/>
          <w:sz w:val="20"/>
          <w:szCs w:val="20"/>
          <w:lang w:val="es-ES"/>
        </w:rPr>
        <w:t>(</w:t>
      </w:r>
      <w:r w:rsidR="006E4123">
        <w:rPr>
          <w:rFonts w:ascii="Arial" w:hAnsi="Arial" w:cs="Arial"/>
          <w:sz w:val="20"/>
          <w:szCs w:val="20"/>
          <w:lang w:val="es-ES"/>
        </w:rPr>
        <w:t>ver párrafor anterior</w:t>
      </w:r>
      <w:r w:rsidRPr="003320A1">
        <w:rPr>
          <w:rFonts w:ascii="Arial" w:hAnsi="Arial" w:cs="Arial"/>
          <w:sz w:val="20"/>
          <w:szCs w:val="20"/>
          <w:lang w:val="es-ES"/>
        </w:rPr>
        <w:t xml:space="preserve">). </w:t>
      </w:r>
    </w:p>
    <w:p w:rsidR="00F95A34" w:rsidRPr="003320A1" w:rsidRDefault="00F95A34" w:rsidP="00D00C7E">
      <w:pPr>
        <w:spacing w:after="260" w:line="260" w:lineRule="exact"/>
        <w:rPr>
          <w:rFonts w:ascii="Arial" w:hAnsi="Arial" w:cs="Arial"/>
          <w:sz w:val="20"/>
          <w:szCs w:val="20"/>
          <w:lang w:val="es-ES"/>
        </w:rPr>
      </w:pPr>
      <w:r w:rsidRPr="003320A1">
        <w:rPr>
          <w:rFonts w:ascii="Arial" w:hAnsi="Arial" w:cs="Arial"/>
          <w:sz w:val="20"/>
          <w:szCs w:val="20"/>
          <w:lang w:val="es-ES"/>
        </w:rPr>
        <w:t xml:space="preserve">En este nuevo análisis, el </w:t>
      </w:r>
      <w:r w:rsidRPr="003320A1">
        <w:rPr>
          <w:rFonts w:ascii="Arial" w:hAnsi="Arial" w:cs="Arial"/>
          <w:b/>
          <w:sz w:val="20"/>
          <w:szCs w:val="20"/>
          <w:lang w:val="es-ES"/>
        </w:rPr>
        <w:t xml:space="preserve">EMCDDA </w:t>
      </w:r>
      <w:r w:rsidRPr="003320A1">
        <w:rPr>
          <w:rFonts w:ascii="Arial" w:hAnsi="Arial" w:cs="Arial"/>
          <w:sz w:val="20"/>
          <w:szCs w:val="20"/>
          <w:lang w:val="es-ES"/>
        </w:rPr>
        <w:t>examina las dificultades para la provisión de respuestas sanitarias y sociales en relación con esta droga en la actualidad. Aunque no hay medicamentos aprobados para el tratamiento de la dependencia de la metanfenamina,</w:t>
      </w:r>
      <w:r>
        <w:rPr>
          <w:rFonts w:ascii="Arial" w:hAnsi="Arial" w:cs="Arial"/>
          <w:sz w:val="20"/>
          <w:szCs w:val="20"/>
          <w:lang w:val="es-ES"/>
        </w:rPr>
        <w:t xml:space="preserve"> </w:t>
      </w:r>
      <w:r w:rsidRPr="003320A1">
        <w:rPr>
          <w:rFonts w:ascii="Arial" w:hAnsi="Arial" w:cs="Arial"/>
          <w:sz w:val="20"/>
          <w:szCs w:val="20"/>
          <w:lang w:val="es-ES"/>
        </w:rPr>
        <w:t xml:space="preserve">las intervenciones psicosociales han demostrado ser eficaces. </w:t>
      </w:r>
      <w:r>
        <w:rPr>
          <w:rFonts w:ascii="Arial" w:hAnsi="Arial" w:cs="Arial"/>
          <w:sz w:val="20"/>
          <w:szCs w:val="20"/>
          <w:lang w:val="es-ES"/>
        </w:rPr>
        <w:t>E</w:t>
      </w:r>
      <w:r w:rsidRPr="003320A1">
        <w:rPr>
          <w:rFonts w:ascii="Arial" w:hAnsi="Arial" w:cs="Arial"/>
          <w:sz w:val="20"/>
          <w:szCs w:val="20"/>
          <w:lang w:val="es-ES"/>
        </w:rPr>
        <w:t xml:space="preserve">l </w:t>
      </w:r>
      <w:r w:rsidRPr="00412D4F">
        <w:rPr>
          <w:rFonts w:ascii="Arial" w:hAnsi="Arial" w:cs="Arial"/>
          <w:b/>
          <w:sz w:val="20"/>
          <w:szCs w:val="20"/>
          <w:lang w:val="es-ES"/>
        </w:rPr>
        <w:t>Observatorio</w:t>
      </w:r>
      <w:r w:rsidRPr="003320A1">
        <w:rPr>
          <w:rFonts w:ascii="Arial" w:hAnsi="Arial" w:cs="Arial"/>
          <w:sz w:val="20"/>
          <w:szCs w:val="20"/>
          <w:lang w:val="es-ES"/>
        </w:rPr>
        <w:t xml:space="preserve"> afirma lo siguiente:</w:t>
      </w:r>
      <w:r w:rsidRPr="003320A1">
        <w:rPr>
          <w:rFonts w:ascii="Arial" w:hAnsi="Arial" w:cs="Arial"/>
          <w:b/>
          <w:sz w:val="20"/>
          <w:szCs w:val="20"/>
          <w:lang w:val="es-ES"/>
        </w:rPr>
        <w:t xml:space="preserve"> </w:t>
      </w:r>
      <w:r w:rsidRPr="003320A1">
        <w:rPr>
          <w:rFonts w:ascii="Arial" w:hAnsi="Arial" w:cs="Arial"/>
          <w:sz w:val="20"/>
          <w:szCs w:val="20"/>
          <w:lang w:val="es-ES"/>
        </w:rPr>
        <w:t xml:space="preserve">«El problema actual en Europa en relación con la metanfetamina no tiene una sola cara y será necesario adaptar, desarrollar </w:t>
      </w:r>
      <w:r w:rsidR="000E36B5">
        <w:rPr>
          <w:rFonts w:ascii="Arial" w:hAnsi="Arial" w:cs="Arial"/>
          <w:sz w:val="20"/>
          <w:szCs w:val="20"/>
          <w:lang w:val="es-ES"/>
        </w:rPr>
        <w:t>y</w:t>
      </w:r>
      <w:r w:rsidRPr="003320A1">
        <w:rPr>
          <w:rFonts w:ascii="Arial" w:hAnsi="Arial" w:cs="Arial"/>
          <w:sz w:val="20"/>
          <w:szCs w:val="20"/>
          <w:lang w:val="es-ES"/>
        </w:rPr>
        <w:t xml:space="preserve"> </w:t>
      </w:r>
      <w:r w:rsidR="000E36B5">
        <w:rPr>
          <w:rFonts w:ascii="Arial" w:hAnsi="Arial" w:cs="Arial"/>
          <w:sz w:val="20"/>
          <w:szCs w:val="20"/>
          <w:lang w:val="es-ES"/>
        </w:rPr>
        <w:t>adecuar las</w:t>
      </w:r>
      <w:r w:rsidRPr="003320A1">
        <w:rPr>
          <w:rFonts w:ascii="Arial" w:hAnsi="Arial" w:cs="Arial"/>
          <w:sz w:val="20"/>
          <w:szCs w:val="20"/>
          <w:lang w:val="es-ES"/>
        </w:rPr>
        <w:t xml:space="preserve"> respuestas apropiadas </w:t>
      </w:r>
      <w:r w:rsidR="000E36B5">
        <w:rPr>
          <w:rFonts w:ascii="Arial" w:hAnsi="Arial" w:cs="Arial"/>
          <w:sz w:val="20"/>
          <w:szCs w:val="20"/>
          <w:lang w:val="es-ES"/>
        </w:rPr>
        <w:t>según</w:t>
      </w:r>
      <w:r w:rsidRPr="003320A1">
        <w:rPr>
          <w:rFonts w:ascii="Arial" w:hAnsi="Arial" w:cs="Arial"/>
          <w:sz w:val="20"/>
          <w:szCs w:val="20"/>
          <w:lang w:val="es-ES"/>
        </w:rPr>
        <w:t xml:space="preserve"> las pautas locales de consumo y a los problemas observados». </w:t>
      </w:r>
    </w:p>
    <w:p w:rsidR="00F95A34" w:rsidRPr="003320A1" w:rsidRDefault="00F95A34" w:rsidP="00DF7C96">
      <w:pPr>
        <w:rPr>
          <w:rFonts w:ascii="Arial" w:hAnsi="Arial" w:cs="Arial"/>
          <w:b/>
          <w:sz w:val="20"/>
          <w:szCs w:val="20"/>
          <w:lang w:val="es-ES"/>
        </w:rPr>
      </w:pPr>
      <w:r w:rsidRPr="003320A1">
        <w:rPr>
          <w:rFonts w:ascii="Arial" w:hAnsi="Arial" w:cs="Arial"/>
          <w:b/>
          <w:sz w:val="20"/>
          <w:szCs w:val="20"/>
          <w:lang w:val="es-ES"/>
        </w:rPr>
        <w:t>Revisión de los avances realizados en la medicación para el tratamiento de la dependencia de la cocaína</w:t>
      </w:r>
    </w:p>
    <w:p w:rsidR="00F95A34" w:rsidRPr="003320A1" w:rsidRDefault="00F95A34" w:rsidP="005153AE">
      <w:pPr>
        <w:spacing w:after="260" w:line="260" w:lineRule="exact"/>
        <w:rPr>
          <w:rFonts w:ascii="Arial" w:hAnsi="Arial" w:cs="Arial"/>
          <w:sz w:val="20"/>
          <w:szCs w:val="20"/>
          <w:lang w:val="es-ES"/>
        </w:rPr>
      </w:pPr>
      <w:r w:rsidRPr="003320A1">
        <w:rPr>
          <w:rFonts w:ascii="Arial" w:hAnsi="Arial" w:cs="Arial"/>
          <w:sz w:val="20"/>
          <w:szCs w:val="20"/>
          <w:lang w:val="es-ES"/>
        </w:rPr>
        <w:t>La cocaína sigue siendo el estimulante ilegal más consumido en Europa y el tratamiento de la dependencia de esta sustancia sigue planteando dificultades. En 2012, el 14</w:t>
      </w:r>
      <w:r w:rsidR="00412D4F">
        <w:rPr>
          <w:rFonts w:ascii="Arial" w:hAnsi="Arial" w:cs="Arial"/>
          <w:sz w:val="20"/>
          <w:szCs w:val="20"/>
          <w:lang w:val="es-ES"/>
        </w:rPr>
        <w:t>%</w:t>
      </w:r>
      <w:r w:rsidRPr="003320A1">
        <w:rPr>
          <w:rFonts w:ascii="Arial" w:hAnsi="Arial" w:cs="Arial"/>
          <w:sz w:val="20"/>
          <w:szCs w:val="20"/>
          <w:lang w:val="es-ES"/>
        </w:rPr>
        <w:t xml:space="preserve"> de los pacientes que acudieron a servicios especializados de tratamiento por drogas en Europa declararon que la cocaína era la sustancia que consumían como droga principal. El </w:t>
      </w:r>
      <w:r w:rsidRPr="003320A1">
        <w:rPr>
          <w:rFonts w:ascii="Arial" w:hAnsi="Arial" w:cs="Arial"/>
          <w:b/>
          <w:sz w:val="20"/>
          <w:szCs w:val="20"/>
          <w:lang w:val="es-ES"/>
        </w:rPr>
        <w:t>EMCDDA</w:t>
      </w:r>
      <w:r w:rsidRPr="003320A1">
        <w:rPr>
          <w:rFonts w:ascii="Arial" w:hAnsi="Arial" w:cs="Arial"/>
          <w:sz w:val="20"/>
          <w:szCs w:val="20"/>
          <w:lang w:val="es-ES"/>
        </w:rPr>
        <w:t xml:space="preserve"> presenta hoy un metaanálisis de seis revisiones en las que se </w:t>
      </w:r>
      <w:r w:rsidR="003D6843">
        <w:rPr>
          <w:rFonts w:ascii="Arial" w:hAnsi="Arial" w:cs="Arial"/>
          <w:sz w:val="20"/>
          <w:szCs w:val="20"/>
          <w:lang w:val="es-ES"/>
        </w:rPr>
        <w:t>analiza</w:t>
      </w:r>
      <w:r w:rsidR="003D6843" w:rsidRPr="003320A1">
        <w:rPr>
          <w:rFonts w:ascii="Arial" w:hAnsi="Arial" w:cs="Arial"/>
          <w:sz w:val="20"/>
          <w:szCs w:val="20"/>
          <w:lang w:val="es-ES"/>
        </w:rPr>
        <w:t xml:space="preserve"> </w:t>
      </w:r>
      <w:r w:rsidRPr="003320A1">
        <w:rPr>
          <w:rFonts w:ascii="Arial" w:hAnsi="Arial" w:cs="Arial"/>
          <w:sz w:val="20"/>
          <w:szCs w:val="20"/>
          <w:lang w:val="es-ES"/>
        </w:rPr>
        <w:t>la eficacia de los medicamentos utilizados en el tratamiento de los problemas relacionados con el consumo de cocaína, así como la aceptación por parte de sus consumidores.</w:t>
      </w:r>
      <w:r>
        <w:rPr>
          <w:rFonts w:ascii="Arial" w:hAnsi="Arial" w:cs="Arial"/>
          <w:sz w:val="20"/>
          <w:szCs w:val="20"/>
          <w:lang w:val="es-ES"/>
        </w:rPr>
        <w:t xml:space="preserve"> </w:t>
      </w:r>
      <w:r w:rsidRPr="003320A1">
        <w:rPr>
          <w:rFonts w:ascii="Arial" w:hAnsi="Arial" w:cs="Arial"/>
          <w:sz w:val="20"/>
          <w:szCs w:val="20"/>
          <w:lang w:val="es-ES"/>
        </w:rPr>
        <w:t xml:space="preserve">Las revisiones originales, realizadas por el Grupo Cochrane sobre las drogas y el alcohol, incluyeron 92 estudios (85 en los Estados Unidos), con más de 7 000 participantes. En ellas se muestra que algunos medicamentos pueden </w:t>
      </w:r>
      <w:r w:rsidRPr="005604A1">
        <w:rPr>
          <w:rFonts w:ascii="Arial" w:hAnsi="Arial" w:cs="Arial"/>
          <w:sz w:val="20"/>
          <w:szCs w:val="20"/>
          <w:lang w:val="es-ES"/>
        </w:rPr>
        <w:t>reducir el ansia</w:t>
      </w:r>
      <w:r w:rsidRPr="003320A1">
        <w:rPr>
          <w:rFonts w:ascii="Arial" w:hAnsi="Arial" w:cs="Arial"/>
          <w:sz w:val="20"/>
          <w:szCs w:val="20"/>
          <w:lang w:val="es-ES"/>
        </w:rPr>
        <w:t xml:space="preserve"> de los consumidores, aunque no se ha encontrado una única solución farmacológica para la dependencia de la cocaína. A medida que avanza la investigación en este ámbito, las intervenciones psicosociales siguen siendo un elemento esencial para el tratamiento de los consumidores de cocaína (véase el vídeo).</w:t>
      </w:r>
    </w:p>
    <w:p w:rsidR="00F95A34" w:rsidRPr="003320A1" w:rsidRDefault="00F95A34" w:rsidP="000D09FC">
      <w:pPr>
        <w:autoSpaceDE w:val="0"/>
        <w:autoSpaceDN w:val="0"/>
        <w:adjustRightInd w:val="0"/>
        <w:spacing w:after="0" w:line="240" w:lineRule="auto"/>
        <w:rPr>
          <w:rFonts w:ascii="Arial" w:hAnsi="Arial" w:cs="Arial"/>
          <w:b/>
          <w:sz w:val="20"/>
          <w:szCs w:val="20"/>
          <w:lang w:val="es-ES"/>
        </w:rPr>
      </w:pPr>
      <w:r w:rsidRPr="003320A1">
        <w:rPr>
          <w:rFonts w:ascii="Arial" w:hAnsi="Arial" w:cs="Arial"/>
          <w:b/>
          <w:sz w:val="20"/>
          <w:szCs w:val="20"/>
          <w:lang w:val="es-ES"/>
        </w:rPr>
        <w:t xml:space="preserve">La producción doméstica de hierba de cannabis, una importante fuente de suministro — </w:t>
      </w:r>
      <w:r w:rsidR="00CA69F1">
        <w:rPr>
          <w:rFonts w:ascii="Arial" w:hAnsi="Arial" w:cs="Arial"/>
          <w:b/>
          <w:sz w:val="20"/>
          <w:szCs w:val="20"/>
          <w:lang w:val="es-ES"/>
        </w:rPr>
        <w:t xml:space="preserve">  </w:t>
      </w:r>
      <w:r w:rsidRPr="003320A1">
        <w:rPr>
          <w:rFonts w:ascii="Arial" w:hAnsi="Arial" w:cs="Arial"/>
          <w:b/>
          <w:sz w:val="20"/>
          <w:szCs w:val="20"/>
          <w:lang w:val="es-ES"/>
        </w:rPr>
        <w:t xml:space="preserve">Aumento de la resina importada </w:t>
      </w:r>
    </w:p>
    <w:p w:rsidR="00F95A34" w:rsidRPr="003320A1" w:rsidRDefault="00F95A34" w:rsidP="000D09FC">
      <w:pPr>
        <w:autoSpaceDE w:val="0"/>
        <w:autoSpaceDN w:val="0"/>
        <w:adjustRightInd w:val="0"/>
        <w:spacing w:after="0" w:line="240" w:lineRule="auto"/>
        <w:rPr>
          <w:rFonts w:ascii="Arial" w:hAnsi="Arial" w:cs="Arial"/>
          <w:b/>
          <w:sz w:val="20"/>
          <w:szCs w:val="20"/>
          <w:highlight w:val="yellow"/>
          <w:lang w:val="es-ES"/>
        </w:rPr>
      </w:pPr>
    </w:p>
    <w:p w:rsidR="00F95A34" w:rsidRPr="003320A1" w:rsidRDefault="00F95A34" w:rsidP="00303D0F">
      <w:pPr>
        <w:autoSpaceDE w:val="0"/>
        <w:autoSpaceDN w:val="0"/>
        <w:adjustRightInd w:val="0"/>
        <w:spacing w:after="260" w:line="260" w:lineRule="exact"/>
        <w:rPr>
          <w:rFonts w:ascii="Arial" w:hAnsi="Arial" w:cs="Arial"/>
          <w:sz w:val="20"/>
          <w:szCs w:val="20"/>
          <w:lang w:val="es-ES" w:eastAsia="en-GB"/>
        </w:rPr>
      </w:pPr>
      <w:r w:rsidRPr="003320A1">
        <w:rPr>
          <w:rFonts w:ascii="Arial" w:hAnsi="Arial" w:cs="Arial"/>
          <w:bCs/>
          <w:sz w:val="20"/>
          <w:szCs w:val="20"/>
          <w:lang w:val="es-ES"/>
        </w:rPr>
        <w:t xml:space="preserve">Europa es, desde hace mucho tiempo, uno de los mayores mercados mundiales de consumidores de cannabis, en particular, de resina importada principalmente de </w:t>
      </w:r>
      <w:r w:rsidRPr="003320A1">
        <w:rPr>
          <w:rFonts w:ascii="Arial" w:hAnsi="Arial" w:cs="Arial"/>
          <w:b/>
          <w:bCs/>
          <w:sz w:val="20"/>
          <w:szCs w:val="20"/>
          <w:lang w:val="es-ES"/>
        </w:rPr>
        <w:t>Marruecos</w:t>
      </w:r>
      <w:r w:rsidRPr="003320A1">
        <w:rPr>
          <w:rFonts w:ascii="Arial" w:hAnsi="Arial" w:cs="Arial"/>
          <w:bCs/>
          <w:sz w:val="20"/>
          <w:szCs w:val="20"/>
          <w:lang w:val="es-ES"/>
        </w:rPr>
        <w:t>. Se calcula que en Europa se consumen cerca de 2 050 toneladas de resina de cannabis («hachís») y hierba de</w:t>
      </w:r>
      <w:r w:rsidR="00442462">
        <w:rPr>
          <w:rFonts w:ascii="Arial" w:hAnsi="Arial" w:cs="Arial"/>
          <w:bCs/>
          <w:sz w:val="20"/>
          <w:szCs w:val="20"/>
          <w:lang w:val="es-ES"/>
        </w:rPr>
        <w:t xml:space="preserve"> cannabis («marihuana») </w:t>
      </w:r>
      <w:r w:rsidRPr="003320A1">
        <w:rPr>
          <w:rFonts w:ascii="Arial" w:hAnsi="Arial" w:cs="Arial"/>
          <w:bCs/>
          <w:sz w:val="20"/>
          <w:szCs w:val="20"/>
          <w:lang w:val="es-ES"/>
        </w:rPr>
        <w:t xml:space="preserve">cada año. El </w:t>
      </w:r>
      <w:r w:rsidRPr="003320A1">
        <w:rPr>
          <w:rFonts w:ascii="Arial" w:hAnsi="Arial" w:cs="Arial"/>
          <w:b/>
          <w:bCs/>
          <w:sz w:val="20"/>
          <w:szCs w:val="20"/>
          <w:lang w:val="es-ES"/>
        </w:rPr>
        <w:t xml:space="preserve">EMCDDA </w:t>
      </w:r>
      <w:r w:rsidRPr="003320A1">
        <w:rPr>
          <w:rFonts w:ascii="Arial" w:hAnsi="Arial" w:cs="Arial"/>
          <w:bCs/>
          <w:sz w:val="20"/>
          <w:szCs w:val="20"/>
          <w:lang w:val="es-ES"/>
        </w:rPr>
        <w:t xml:space="preserve">informa </w:t>
      </w:r>
      <w:r>
        <w:rPr>
          <w:rFonts w:ascii="Arial" w:hAnsi="Arial" w:cs="Arial"/>
          <w:bCs/>
          <w:sz w:val="20"/>
          <w:szCs w:val="20"/>
          <w:lang w:val="es-ES"/>
        </w:rPr>
        <w:t xml:space="preserve">que </w:t>
      </w:r>
      <w:r w:rsidRPr="003320A1">
        <w:rPr>
          <w:rFonts w:ascii="Arial" w:hAnsi="Arial" w:cs="Arial"/>
          <w:bCs/>
          <w:sz w:val="20"/>
          <w:szCs w:val="20"/>
          <w:lang w:val="es-ES"/>
        </w:rPr>
        <w:t xml:space="preserve">en la actualidad el mercado europeo de consumidores de cannabis está dominado por los productos basados en la hierba, y la producción doméstica de </w:t>
      </w:r>
      <w:r w:rsidRPr="008230AF">
        <w:rPr>
          <w:rFonts w:ascii="Arial" w:hAnsi="Arial" w:cs="Arial"/>
          <w:bCs/>
          <w:sz w:val="20"/>
          <w:szCs w:val="20"/>
          <w:lang w:val="es-ES"/>
        </w:rPr>
        <w:t>éstos cubre el consumo interno.</w:t>
      </w:r>
      <w:r w:rsidRPr="003320A1">
        <w:rPr>
          <w:rFonts w:ascii="Arial" w:hAnsi="Arial" w:cs="Arial"/>
          <w:bCs/>
          <w:sz w:val="20"/>
          <w:szCs w:val="20"/>
          <w:lang w:val="es-ES"/>
        </w:rPr>
        <w:t xml:space="preserve"> Las plantaciones de cannabis aumentan su presencia en </w:t>
      </w:r>
      <w:r w:rsidR="006B2842">
        <w:rPr>
          <w:rFonts w:ascii="Arial" w:hAnsi="Arial" w:cs="Arial"/>
          <w:bCs/>
          <w:sz w:val="20"/>
          <w:szCs w:val="20"/>
          <w:lang w:val="es-ES"/>
        </w:rPr>
        <w:t>toda</w:t>
      </w:r>
      <w:r w:rsidRPr="003320A1">
        <w:rPr>
          <w:rFonts w:ascii="Arial" w:hAnsi="Arial" w:cs="Arial"/>
          <w:bCs/>
          <w:sz w:val="20"/>
          <w:szCs w:val="20"/>
          <w:lang w:val="es-ES"/>
        </w:rPr>
        <w:t xml:space="preserve"> Europa.</w:t>
      </w:r>
    </w:p>
    <w:p w:rsidR="00F95A34" w:rsidRPr="003320A1" w:rsidRDefault="006B2842" w:rsidP="00303D0F">
      <w:pPr>
        <w:autoSpaceDE w:val="0"/>
        <w:autoSpaceDN w:val="0"/>
        <w:adjustRightInd w:val="0"/>
        <w:spacing w:after="260" w:line="260" w:lineRule="exact"/>
        <w:rPr>
          <w:rFonts w:ascii="Arial" w:hAnsi="Arial" w:cs="Arial"/>
          <w:color w:val="BFBFBF"/>
          <w:sz w:val="20"/>
          <w:szCs w:val="20"/>
          <w:lang w:val="es-ES"/>
        </w:rPr>
      </w:pPr>
      <w:r>
        <w:rPr>
          <w:rFonts w:ascii="Arial" w:hAnsi="Arial" w:cs="Arial"/>
          <w:bCs/>
          <w:sz w:val="20"/>
          <w:szCs w:val="20"/>
          <w:lang w:val="es-ES"/>
        </w:rPr>
        <w:t xml:space="preserve">A lo largo de la </w:t>
      </w:r>
      <w:r w:rsidR="00F95A34" w:rsidRPr="003320A1">
        <w:rPr>
          <w:rFonts w:ascii="Arial" w:hAnsi="Arial" w:cs="Arial"/>
          <w:bCs/>
          <w:sz w:val="20"/>
          <w:szCs w:val="20"/>
          <w:lang w:val="es-ES"/>
        </w:rPr>
        <w:t>últim</w:t>
      </w:r>
      <w:r>
        <w:rPr>
          <w:rFonts w:ascii="Arial" w:hAnsi="Arial" w:cs="Arial"/>
          <w:bCs/>
          <w:sz w:val="20"/>
          <w:szCs w:val="20"/>
          <w:lang w:val="es-ES"/>
        </w:rPr>
        <w:t>a</w:t>
      </w:r>
      <w:r w:rsidR="00F95A34" w:rsidRPr="003320A1">
        <w:rPr>
          <w:rFonts w:ascii="Arial" w:hAnsi="Arial" w:cs="Arial"/>
          <w:bCs/>
          <w:sz w:val="20"/>
          <w:szCs w:val="20"/>
          <w:lang w:val="es-ES"/>
        </w:rPr>
        <w:t xml:space="preserve"> dec</w:t>
      </w:r>
      <w:r>
        <w:rPr>
          <w:rFonts w:ascii="Arial" w:hAnsi="Arial" w:cs="Arial"/>
          <w:bCs/>
          <w:sz w:val="20"/>
          <w:szCs w:val="20"/>
          <w:lang w:val="es-ES"/>
        </w:rPr>
        <w:t>ada</w:t>
      </w:r>
      <w:r w:rsidR="00F95A34" w:rsidRPr="003320A1">
        <w:rPr>
          <w:rFonts w:ascii="Arial" w:hAnsi="Arial" w:cs="Arial"/>
          <w:bCs/>
          <w:sz w:val="20"/>
          <w:szCs w:val="20"/>
          <w:lang w:val="es-ES"/>
        </w:rPr>
        <w:t xml:space="preserve">, el número de incautaciones de hierba de cannabis en Europa ha superado al de resina. En 2012 se notificaron cerca de 457 000 incautaciones de hierba de cannabis, en comparación con las 258 000 de resina. En ese mismo año se incautaron en torno a siete millones de plantas de cannabis, más de 2,5 veces la cantidad notificada cinco años antes. Las innovaciones </w:t>
      </w:r>
      <w:r w:rsidR="00F95A34">
        <w:rPr>
          <w:rFonts w:ascii="Arial" w:hAnsi="Arial" w:cs="Arial"/>
          <w:bCs/>
          <w:sz w:val="20"/>
          <w:szCs w:val="20"/>
          <w:lang w:val="es-ES"/>
        </w:rPr>
        <w:t>introducidas</w:t>
      </w:r>
      <w:r w:rsidR="00F95A34" w:rsidRPr="003320A1">
        <w:rPr>
          <w:rFonts w:ascii="Arial" w:hAnsi="Arial" w:cs="Arial"/>
          <w:bCs/>
          <w:sz w:val="20"/>
          <w:szCs w:val="20"/>
          <w:lang w:val="es-ES"/>
        </w:rPr>
        <w:t xml:space="preserve"> en la producción de cannabis en los últimos años son motivo de preocupación (véase el vídeo), dado que los productores cultivan plantas con un contenido alto de THC (el principio activo del cannabis) y bajo de CBD (un antipsicótico). Aunque la potencia de ambas modalidades de cannabis se ha </w:t>
      </w:r>
      <w:r>
        <w:rPr>
          <w:rFonts w:ascii="Arial" w:hAnsi="Arial" w:cs="Arial"/>
          <w:bCs/>
          <w:sz w:val="20"/>
          <w:szCs w:val="20"/>
          <w:lang w:val="es-ES"/>
        </w:rPr>
        <w:t>incrementado</w:t>
      </w:r>
      <w:r w:rsidR="00F95A34" w:rsidRPr="003320A1">
        <w:rPr>
          <w:rFonts w:ascii="Arial" w:hAnsi="Arial" w:cs="Arial"/>
          <w:bCs/>
          <w:sz w:val="20"/>
          <w:szCs w:val="20"/>
          <w:lang w:val="es-ES"/>
        </w:rPr>
        <w:t xml:space="preserve"> desde 2006, se han observado aumentos relativamente significativos en la potencia de la resina entre 2011 y 2012 (véase la infografía sobre el cannabis, </w:t>
      </w:r>
      <w:r w:rsidR="00F95A34" w:rsidRPr="005604A1">
        <w:rPr>
          <w:rFonts w:ascii="Arial" w:hAnsi="Arial" w:cs="Arial"/>
          <w:bCs/>
          <w:i/>
          <w:sz w:val="20"/>
          <w:szCs w:val="20"/>
          <w:lang w:val="es-ES"/>
        </w:rPr>
        <w:t>Inform</w:t>
      </w:r>
      <w:r w:rsidR="00442462" w:rsidRPr="005604A1">
        <w:rPr>
          <w:rFonts w:ascii="Arial" w:hAnsi="Arial" w:cs="Arial"/>
          <w:bCs/>
          <w:i/>
          <w:sz w:val="20"/>
          <w:szCs w:val="20"/>
          <w:lang w:val="es-ES"/>
        </w:rPr>
        <w:t>e europeo sobre las drogas</w:t>
      </w:r>
      <w:r w:rsidR="005604A1">
        <w:rPr>
          <w:rFonts w:ascii="Arial" w:hAnsi="Arial" w:cs="Arial"/>
          <w:bCs/>
          <w:i/>
          <w:sz w:val="20"/>
          <w:szCs w:val="20"/>
          <w:lang w:val="es-ES"/>
        </w:rPr>
        <w:t xml:space="preserve"> 2014</w:t>
      </w:r>
      <w:r w:rsidR="00F95A34" w:rsidRPr="003320A1">
        <w:rPr>
          <w:rFonts w:ascii="Arial" w:hAnsi="Arial" w:cs="Arial"/>
          <w:bCs/>
          <w:sz w:val="20"/>
          <w:szCs w:val="20"/>
          <w:lang w:val="es-ES"/>
        </w:rPr>
        <w:t>, capítulo 1).</w:t>
      </w:r>
      <w:r w:rsidR="00F95A34" w:rsidRPr="003320A1">
        <w:rPr>
          <w:rFonts w:ascii="Arial" w:hAnsi="Arial" w:cs="Arial"/>
          <w:sz w:val="20"/>
          <w:szCs w:val="20"/>
          <w:u w:val="single"/>
          <w:lang w:val="es-ES"/>
        </w:rPr>
        <w:t xml:space="preserve"> </w:t>
      </w:r>
    </w:p>
    <w:p w:rsidR="00F95A34" w:rsidRPr="003320A1" w:rsidRDefault="00F95A34" w:rsidP="00303D0F">
      <w:pPr>
        <w:spacing w:after="0" w:line="240" w:lineRule="auto"/>
        <w:rPr>
          <w:rFonts w:ascii="Arial" w:hAnsi="Arial" w:cs="Arial"/>
          <w:sz w:val="20"/>
          <w:szCs w:val="20"/>
          <w:lang w:val="es-ES"/>
        </w:rPr>
      </w:pPr>
      <w:r w:rsidRPr="003320A1">
        <w:rPr>
          <w:rFonts w:ascii="Arial" w:hAnsi="Arial" w:cs="Arial"/>
          <w:b/>
          <w:sz w:val="20"/>
          <w:szCs w:val="20"/>
          <w:lang w:val="es-ES"/>
        </w:rPr>
        <w:lastRenderedPageBreak/>
        <w:t>Tratamiento por drogas basado en Internet: nuevas maneras de llegar a los consumidores</w:t>
      </w:r>
      <w:r>
        <w:rPr>
          <w:rFonts w:ascii="Arial" w:hAnsi="Arial" w:cs="Arial"/>
          <w:b/>
          <w:sz w:val="20"/>
          <w:szCs w:val="20"/>
          <w:lang w:val="es-ES"/>
        </w:rPr>
        <w:t xml:space="preserve"> de drogas</w:t>
      </w:r>
    </w:p>
    <w:p w:rsidR="00F95A34" w:rsidRPr="003320A1" w:rsidRDefault="00F95A34" w:rsidP="00303D0F">
      <w:pPr>
        <w:spacing w:after="0" w:line="240" w:lineRule="auto"/>
        <w:rPr>
          <w:rFonts w:ascii="Arial" w:hAnsi="Arial" w:cs="Arial"/>
          <w:sz w:val="20"/>
          <w:szCs w:val="20"/>
          <w:lang w:val="es-ES"/>
        </w:rPr>
      </w:pPr>
    </w:p>
    <w:p w:rsidR="00F95A34" w:rsidRPr="003320A1" w:rsidRDefault="00F95A34" w:rsidP="00B50AB8">
      <w:pPr>
        <w:spacing w:after="260" w:line="260" w:lineRule="exact"/>
        <w:rPr>
          <w:rFonts w:ascii="Arial" w:hAnsi="Arial" w:cs="Arial"/>
          <w:sz w:val="20"/>
          <w:szCs w:val="20"/>
          <w:lang w:val="es-ES"/>
        </w:rPr>
      </w:pPr>
      <w:r w:rsidRPr="003320A1">
        <w:rPr>
          <w:rFonts w:ascii="Arial" w:hAnsi="Arial" w:cs="Arial"/>
          <w:sz w:val="20"/>
          <w:szCs w:val="20"/>
          <w:lang w:val="es-ES"/>
        </w:rPr>
        <w:t xml:space="preserve">En la actualidad, Internet está reconocida como una vía plausible para la oferta de programas de formación, prevención y tratamiento </w:t>
      </w:r>
      <w:r>
        <w:rPr>
          <w:rFonts w:ascii="Arial" w:hAnsi="Arial" w:cs="Arial"/>
          <w:sz w:val="20"/>
          <w:szCs w:val="20"/>
          <w:lang w:val="es-ES"/>
        </w:rPr>
        <w:t xml:space="preserve">de los consumos de drogas y alcohol </w:t>
      </w:r>
      <w:r w:rsidRPr="003320A1">
        <w:rPr>
          <w:rFonts w:ascii="Arial" w:hAnsi="Arial" w:cs="Arial"/>
          <w:sz w:val="20"/>
          <w:szCs w:val="20"/>
          <w:lang w:val="es-ES"/>
        </w:rPr>
        <w:t xml:space="preserve">en una serie de entornos. </w:t>
      </w:r>
      <w:r w:rsidR="00C776F4">
        <w:rPr>
          <w:rFonts w:ascii="Arial" w:hAnsi="Arial" w:cs="Arial"/>
          <w:sz w:val="20"/>
          <w:szCs w:val="20"/>
          <w:lang w:val="es-ES"/>
        </w:rPr>
        <w:t xml:space="preserve">     </w:t>
      </w:r>
      <w:r w:rsidRPr="003320A1">
        <w:rPr>
          <w:rFonts w:ascii="Arial" w:hAnsi="Arial" w:cs="Arial"/>
          <w:sz w:val="20"/>
          <w:szCs w:val="20"/>
          <w:lang w:val="es-ES"/>
        </w:rPr>
        <w:t xml:space="preserve">El </w:t>
      </w:r>
      <w:r w:rsidRPr="003320A1">
        <w:rPr>
          <w:rFonts w:ascii="Arial" w:hAnsi="Arial" w:cs="Arial"/>
          <w:b/>
          <w:sz w:val="20"/>
          <w:szCs w:val="20"/>
          <w:lang w:val="es-ES"/>
        </w:rPr>
        <w:t>EMCDDA</w:t>
      </w:r>
      <w:r w:rsidRPr="003320A1">
        <w:rPr>
          <w:rFonts w:ascii="Arial" w:hAnsi="Arial" w:cs="Arial"/>
          <w:sz w:val="20"/>
          <w:szCs w:val="20"/>
          <w:lang w:val="es-ES"/>
        </w:rPr>
        <w:t xml:space="preserve"> analiza hoy los avances realizados en el tratamiento por drogas basado en Internet (TDBI), que se ha extendido por Europa en los últimos 10 años, en especial en relación con el consumo de cannabis. El TDBI parte de un conjunto de técnicas psicosociales comprobadas y las integra en un nuevo mecanismo de prestación basado en Internet. Aunque la protección de datos y el anonimato son cuestiones importantes que deben tenerse en cuenta, los beneficios que ofrece esta vía de prestación del servicio pueden incluir los siguientes: mayor cobertura geográfica; acceso a los consumidores a los que no llegan los servicios especializados de tratamiento de drogodependencias y asistencia más inmediata (sin tiempos de espera). Hasta que los programas de TDBI estén más desarrollados, pueden ser un complemento útil de los servicios tradicionales de tratamiento por drogas, ya que ofrecen nuevas vías </w:t>
      </w:r>
      <w:r w:rsidR="008E3676">
        <w:rPr>
          <w:rFonts w:ascii="Arial" w:hAnsi="Arial" w:cs="Arial"/>
          <w:sz w:val="20"/>
          <w:szCs w:val="20"/>
          <w:lang w:val="es-ES"/>
        </w:rPr>
        <w:t>para</w:t>
      </w:r>
      <w:r w:rsidRPr="003320A1">
        <w:rPr>
          <w:rFonts w:ascii="Arial" w:hAnsi="Arial" w:cs="Arial"/>
          <w:sz w:val="20"/>
          <w:szCs w:val="20"/>
          <w:lang w:val="es-ES"/>
        </w:rPr>
        <w:t xml:space="preserve"> llegar a los consumidores que necesitan ayuda.</w:t>
      </w:r>
    </w:p>
    <w:p w:rsidR="00F95A34" w:rsidRPr="003320A1" w:rsidRDefault="00F95A34" w:rsidP="00B50AB8">
      <w:pPr>
        <w:spacing w:after="260" w:line="260" w:lineRule="exact"/>
        <w:rPr>
          <w:rFonts w:ascii="Arial" w:hAnsi="Arial" w:cs="Arial"/>
          <w:b/>
          <w:sz w:val="20"/>
          <w:szCs w:val="20"/>
          <w:lang w:val="es-ES"/>
        </w:rPr>
      </w:pPr>
      <w:r w:rsidRPr="003320A1">
        <w:rPr>
          <w:rFonts w:ascii="Arial" w:hAnsi="Arial" w:cs="Arial"/>
          <w:b/>
          <w:sz w:val="20"/>
          <w:szCs w:val="20"/>
          <w:lang w:val="es-ES"/>
        </w:rPr>
        <w:t>Hoy se publica el mayor estudio</w:t>
      </w:r>
      <w:r>
        <w:rPr>
          <w:rFonts w:ascii="Arial" w:hAnsi="Arial" w:cs="Arial"/>
          <w:b/>
          <w:sz w:val="20"/>
          <w:szCs w:val="20"/>
          <w:lang w:val="es-ES"/>
        </w:rPr>
        <w:t>, realizado en varias ciudades,</w:t>
      </w:r>
      <w:r w:rsidRPr="003320A1">
        <w:rPr>
          <w:rFonts w:ascii="Arial" w:hAnsi="Arial" w:cs="Arial"/>
          <w:b/>
          <w:sz w:val="20"/>
          <w:szCs w:val="20"/>
          <w:lang w:val="es-ES"/>
        </w:rPr>
        <w:t xml:space="preserve"> sobre el análisis de la presencia de </w:t>
      </w:r>
      <w:r>
        <w:rPr>
          <w:rFonts w:ascii="Arial" w:hAnsi="Arial" w:cs="Arial"/>
          <w:b/>
          <w:sz w:val="20"/>
          <w:szCs w:val="20"/>
          <w:lang w:val="es-ES"/>
        </w:rPr>
        <w:t>drogas en las aguas residuales</w:t>
      </w:r>
    </w:p>
    <w:p w:rsidR="00F95A34" w:rsidRPr="003320A1" w:rsidRDefault="00F95A34" w:rsidP="001B74EB">
      <w:pPr>
        <w:pStyle w:val="CommentText"/>
        <w:spacing w:after="0" w:line="260" w:lineRule="exact"/>
        <w:rPr>
          <w:rFonts w:ascii="Arial" w:hAnsi="Arial" w:cs="Arial"/>
          <w:lang w:val="es-ES"/>
        </w:rPr>
      </w:pPr>
      <w:r w:rsidRPr="003320A1">
        <w:rPr>
          <w:rFonts w:ascii="Arial" w:hAnsi="Arial" w:cs="Arial"/>
          <w:lang w:val="es-ES"/>
        </w:rPr>
        <w:t>También se publican hoy los resultados del mayor proyecto europeo hasta la fecha relacionado con la nueva ciencia de análisis de aguas residuales. El proyecto en cuestión ha analizado las aguas residuales de más de 40 ciudades (21 países) para estudiar los hábitos de consumo de drogas de las personas que viven en ellas. Las conclusione</w:t>
      </w:r>
      <w:r w:rsidR="008230AF">
        <w:rPr>
          <w:rFonts w:ascii="Arial" w:hAnsi="Arial" w:cs="Arial"/>
          <w:lang w:val="es-ES"/>
        </w:rPr>
        <w:t xml:space="preserve">s se recogen en la publicación </w:t>
      </w:r>
      <w:r w:rsidRPr="008230AF">
        <w:rPr>
          <w:rFonts w:ascii="Arial" w:hAnsi="Arial" w:cs="Arial"/>
          <w:b/>
          <w:lang w:val="es-ES"/>
        </w:rPr>
        <w:t>Perspectivas sobre las drogas</w:t>
      </w:r>
      <w:r w:rsidRPr="003320A1">
        <w:rPr>
          <w:rFonts w:ascii="Arial" w:hAnsi="Arial" w:cs="Arial"/>
          <w:lang w:val="es-ES"/>
        </w:rPr>
        <w:t xml:space="preserve"> del </w:t>
      </w:r>
      <w:r w:rsidRPr="008230AF">
        <w:rPr>
          <w:rFonts w:ascii="Arial" w:hAnsi="Arial" w:cs="Arial"/>
          <w:b/>
          <w:lang w:val="es-ES"/>
        </w:rPr>
        <w:t>EMCDDA</w:t>
      </w:r>
      <w:r w:rsidRPr="003320A1">
        <w:rPr>
          <w:rFonts w:ascii="Arial" w:hAnsi="Arial" w:cs="Arial"/>
          <w:lang w:val="es-ES"/>
        </w:rPr>
        <w:t xml:space="preserve"> dedicada a </w:t>
      </w:r>
      <w:r w:rsidR="008E3676">
        <w:rPr>
          <w:rFonts w:ascii="Arial" w:hAnsi="Arial" w:cs="Arial"/>
          <w:lang w:val="es-ES"/>
        </w:rPr>
        <w:t>esta</w:t>
      </w:r>
      <w:r w:rsidRPr="003320A1">
        <w:rPr>
          <w:rFonts w:ascii="Arial" w:hAnsi="Arial" w:cs="Arial"/>
          <w:lang w:val="es-ES"/>
        </w:rPr>
        <w:t xml:space="preserve"> cuestión. Se analizaron las aguas residuales de cerca de ocho millones de personas para buscar restos de cinco drogas ilegales: anfetamina, cannabis, cocaína, éxtasis y metanfetamina (comunicado 5/2014).</w:t>
      </w:r>
    </w:p>
    <w:p w:rsidR="00F95A34" w:rsidRPr="003320A1" w:rsidRDefault="00F95A34" w:rsidP="00A519DC">
      <w:pPr>
        <w:pStyle w:val="newsContent"/>
        <w:rPr>
          <w:lang w:val="es-ES"/>
        </w:rPr>
      </w:pPr>
    </w:p>
    <w:p w:rsidR="00F95A34" w:rsidRPr="003320A1" w:rsidRDefault="00F95A34" w:rsidP="00A519DC">
      <w:pPr>
        <w:pStyle w:val="newsContent"/>
        <w:rPr>
          <w:lang w:val="es-ES"/>
        </w:rPr>
      </w:pPr>
      <w:r w:rsidRPr="003320A1">
        <w:rPr>
          <w:lang w:val="es-ES"/>
        </w:rPr>
        <w:t xml:space="preserve">Los resultados ofrecen una valiosa instantánea del flujo de estas drogas en las ciudades analizadas, y reflejan </w:t>
      </w:r>
      <w:r w:rsidR="008E3676">
        <w:rPr>
          <w:lang w:val="es-ES"/>
        </w:rPr>
        <w:t xml:space="preserve">notables diferencias </w:t>
      </w:r>
      <w:r w:rsidRPr="003320A1">
        <w:rPr>
          <w:lang w:val="es-ES"/>
        </w:rPr>
        <w:t>regionales en las pautas de consumo de drogas. Por ejemplo, l</w:t>
      </w:r>
      <w:r w:rsidR="008E3676">
        <w:rPr>
          <w:lang w:val="es-ES"/>
        </w:rPr>
        <w:t>a</w:t>
      </w:r>
      <w:r w:rsidRPr="003320A1">
        <w:rPr>
          <w:lang w:val="es-ES"/>
        </w:rPr>
        <w:t>s</w:t>
      </w:r>
      <w:r w:rsidR="00D540B0">
        <w:rPr>
          <w:lang w:val="es-ES"/>
        </w:rPr>
        <w:t xml:space="preserve"> </w:t>
      </w:r>
      <w:r w:rsidR="008E3676">
        <w:rPr>
          <w:lang w:val="es-ES"/>
        </w:rPr>
        <w:t xml:space="preserve">trazas </w:t>
      </w:r>
      <w:r w:rsidRPr="003320A1">
        <w:rPr>
          <w:lang w:val="es-ES"/>
        </w:rPr>
        <w:t xml:space="preserve">de cocaína </w:t>
      </w:r>
      <w:r w:rsidR="008E3676">
        <w:rPr>
          <w:lang w:val="es-ES"/>
        </w:rPr>
        <w:t xml:space="preserve">son mayores </w:t>
      </w:r>
      <w:r w:rsidRPr="003320A1">
        <w:rPr>
          <w:lang w:val="es-ES"/>
        </w:rPr>
        <w:t>en las ciudades occidentales y en algunas meridionales</w:t>
      </w:r>
      <w:r w:rsidR="001A2929">
        <w:rPr>
          <w:lang w:val="es-ES"/>
        </w:rPr>
        <w:t xml:space="preserve"> pero</w:t>
      </w:r>
      <w:r w:rsidRPr="003320A1">
        <w:rPr>
          <w:lang w:val="es-ES"/>
        </w:rPr>
        <w:t xml:space="preserve"> menores en las septentrionales y orientales. Los niveles más elevados de consumo de anfetamina, aunque distribuidos de una manera relativamente uniforme, se registran en el norte y el noroeste de Europa.</w:t>
      </w:r>
      <w:r w:rsidR="00D540B0">
        <w:rPr>
          <w:lang w:val="es-ES"/>
        </w:rPr>
        <w:t xml:space="preserve"> </w:t>
      </w:r>
      <w:r w:rsidRPr="003320A1">
        <w:rPr>
          <w:lang w:val="es-ES"/>
        </w:rPr>
        <w:t xml:space="preserve">El consumo de metanfetamina, por lo general </w:t>
      </w:r>
      <w:r w:rsidR="00BB5586">
        <w:rPr>
          <w:lang w:val="es-ES"/>
        </w:rPr>
        <w:t xml:space="preserve">es </w:t>
      </w:r>
      <w:r w:rsidRPr="003320A1">
        <w:rPr>
          <w:lang w:val="es-ES"/>
        </w:rPr>
        <w:t xml:space="preserve">bajo y concentrado tradicionalmente en Europa central, parece extenderse en la actualidad. </w:t>
      </w:r>
      <w:r w:rsidR="00BB5586">
        <w:rPr>
          <w:lang w:val="es-ES"/>
        </w:rPr>
        <w:t xml:space="preserve">Por último, cuando se </w:t>
      </w:r>
      <w:r w:rsidRPr="003320A1">
        <w:rPr>
          <w:lang w:val="es-ES"/>
        </w:rPr>
        <w:t>exam</w:t>
      </w:r>
      <w:r w:rsidR="00BB5586">
        <w:rPr>
          <w:lang w:val="es-ES"/>
        </w:rPr>
        <w:t>inaron</w:t>
      </w:r>
      <w:r w:rsidRPr="003320A1">
        <w:rPr>
          <w:lang w:val="es-ES"/>
        </w:rPr>
        <w:t xml:space="preserve"> los patrones semanales de consumo de drogas, se observ</w:t>
      </w:r>
      <w:r w:rsidR="00BB5586">
        <w:rPr>
          <w:lang w:val="es-ES"/>
        </w:rPr>
        <w:t>ó</w:t>
      </w:r>
      <w:r w:rsidRPr="003320A1">
        <w:rPr>
          <w:lang w:val="es-ES"/>
        </w:rPr>
        <w:t xml:space="preserve"> que los niveles de cocaína y éxtasis aumentan de forma marcada durante los fines de semana en la mayoría de las ciudades, mientras que el consumo de metanfetamina y cannabis parece estar distribuido de manera más uniforme a lo largo de la semana.</w:t>
      </w:r>
    </w:p>
    <w:p w:rsidR="00F95A34" w:rsidRPr="00591A7A" w:rsidRDefault="00F95A34" w:rsidP="00C475E1">
      <w:pPr>
        <w:spacing w:before="100" w:beforeAutospacing="1"/>
        <w:rPr>
          <w:rFonts w:ascii="Arial" w:hAnsi="Arial" w:cs="Arial"/>
          <w:sz w:val="20"/>
          <w:szCs w:val="20"/>
          <w:lang w:val="es-ES"/>
        </w:rPr>
      </w:pPr>
      <w:r w:rsidRPr="003320A1">
        <w:rPr>
          <w:rFonts w:ascii="Arial" w:hAnsi="Arial" w:cs="Arial"/>
          <w:b/>
          <w:sz w:val="20"/>
          <w:szCs w:val="20"/>
          <w:lang w:val="es-ES"/>
        </w:rPr>
        <w:t>El Presidente del Consejo de Administración del EMCDDA, João Goulão,</w:t>
      </w:r>
      <w:r w:rsidRPr="003320A1">
        <w:rPr>
          <w:rFonts w:ascii="Arial" w:hAnsi="Arial" w:cs="Arial"/>
          <w:sz w:val="20"/>
          <w:szCs w:val="20"/>
          <w:lang w:val="es-ES"/>
        </w:rPr>
        <w:t xml:space="preserve"> declara:</w:t>
      </w:r>
      <w:r w:rsidR="00D540B0">
        <w:rPr>
          <w:rFonts w:ascii="Arial" w:hAnsi="Arial" w:cs="Arial"/>
          <w:sz w:val="20"/>
          <w:szCs w:val="20"/>
          <w:lang w:val="es-ES"/>
        </w:rPr>
        <w:t xml:space="preserve"> </w:t>
      </w:r>
      <w:r w:rsidRPr="003320A1">
        <w:rPr>
          <w:rFonts w:ascii="Arial" w:hAnsi="Arial" w:cs="Arial"/>
          <w:sz w:val="20"/>
          <w:szCs w:val="20"/>
          <w:lang w:val="es-ES"/>
        </w:rPr>
        <w:t xml:space="preserve">«Este año, </w:t>
      </w:r>
      <w:r w:rsidR="00CA69F1">
        <w:rPr>
          <w:rFonts w:ascii="Arial" w:hAnsi="Arial" w:cs="Arial"/>
          <w:sz w:val="20"/>
          <w:szCs w:val="20"/>
          <w:lang w:val="es-ES"/>
        </w:rPr>
        <w:t xml:space="preserve">               </w:t>
      </w:r>
      <w:r w:rsidRPr="003320A1">
        <w:rPr>
          <w:rFonts w:ascii="Arial" w:hAnsi="Arial" w:cs="Arial"/>
          <w:sz w:val="20"/>
          <w:szCs w:val="20"/>
          <w:lang w:val="es-ES"/>
        </w:rPr>
        <w:t xml:space="preserve">el EMCDDA resalta una serie de dificultades nuevas que plantean los estimulantes y otras drogas. </w:t>
      </w:r>
      <w:r w:rsidR="00CA69F1">
        <w:rPr>
          <w:rFonts w:ascii="Arial" w:hAnsi="Arial" w:cs="Arial"/>
          <w:sz w:val="20"/>
          <w:szCs w:val="20"/>
          <w:lang w:val="es-ES"/>
        </w:rPr>
        <w:t xml:space="preserve">             </w:t>
      </w:r>
      <w:r w:rsidRPr="003320A1">
        <w:rPr>
          <w:rFonts w:ascii="Arial" w:hAnsi="Arial" w:cs="Arial"/>
          <w:sz w:val="20"/>
          <w:szCs w:val="20"/>
          <w:lang w:val="es-ES"/>
        </w:rPr>
        <w:t xml:space="preserve">En particular, la Agencia </w:t>
      </w:r>
      <w:r w:rsidR="00F23530">
        <w:rPr>
          <w:rFonts w:ascii="Arial" w:hAnsi="Arial" w:cs="Arial"/>
          <w:sz w:val="20"/>
          <w:szCs w:val="20"/>
          <w:lang w:val="es-ES"/>
        </w:rPr>
        <w:t>analiza</w:t>
      </w:r>
      <w:r w:rsidRPr="003320A1">
        <w:rPr>
          <w:rFonts w:ascii="Arial" w:hAnsi="Arial" w:cs="Arial"/>
          <w:sz w:val="20"/>
          <w:szCs w:val="20"/>
          <w:lang w:val="es-ES"/>
        </w:rPr>
        <w:t xml:space="preserve"> </w:t>
      </w:r>
      <w:r w:rsidR="00F23530">
        <w:rPr>
          <w:rFonts w:ascii="Arial" w:hAnsi="Arial" w:cs="Arial"/>
          <w:sz w:val="20"/>
          <w:szCs w:val="20"/>
          <w:lang w:val="es-ES"/>
        </w:rPr>
        <w:t xml:space="preserve">el emergente </w:t>
      </w:r>
      <w:r>
        <w:rPr>
          <w:rFonts w:ascii="Arial" w:hAnsi="Arial" w:cs="Arial"/>
          <w:sz w:val="20"/>
          <w:szCs w:val="20"/>
          <w:lang w:val="es-ES"/>
        </w:rPr>
        <w:t xml:space="preserve">y </w:t>
      </w:r>
      <w:r w:rsidR="00F23530">
        <w:rPr>
          <w:rFonts w:ascii="Arial" w:hAnsi="Arial" w:cs="Arial"/>
          <w:sz w:val="20"/>
          <w:szCs w:val="20"/>
          <w:lang w:val="es-ES"/>
        </w:rPr>
        <w:t xml:space="preserve">creciente número </w:t>
      </w:r>
      <w:r>
        <w:rPr>
          <w:rFonts w:ascii="Arial" w:hAnsi="Arial" w:cs="Arial"/>
          <w:sz w:val="20"/>
          <w:szCs w:val="20"/>
          <w:lang w:val="es-ES"/>
        </w:rPr>
        <w:t>de conocimientos basados en la evidencia</w:t>
      </w:r>
      <w:r w:rsidRPr="003320A1">
        <w:rPr>
          <w:rFonts w:ascii="Arial" w:hAnsi="Arial" w:cs="Arial"/>
          <w:sz w:val="20"/>
          <w:szCs w:val="20"/>
          <w:lang w:val="es-ES"/>
        </w:rPr>
        <w:t xml:space="preserve"> para el tratamiento de problemas relacionados con el consumo de cocaína, metanfetamina y cannabis. Un elemento común en este ámbito es la importancia de las intervenciones psicosociales, que representa una parte valiosa de nuestro arsenal terapéutico para responder a los problemas contemporáneos </w:t>
      </w:r>
      <w:r w:rsidR="00F23530">
        <w:rPr>
          <w:rFonts w:ascii="Arial" w:hAnsi="Arial" w:cs="Arial"/>
          <w:sz w:val="20"/>
          <w:szCs w:val="20"/>
          <w:lang w:val="es-ES"/>
        </w:rPr>
        <w:t>relacionados</w:t>
      </w:r>
      <w:r w:rsidRPr="003320A1">
        <w:rPr>
          <w:rFonts w:ascii="Arial" w:hAnsi="Arial" w:cs="Arial"/>
          <w:sz w:val="20"/>
          <w:szCs w:val="20"/>
          <w:lang w:val="es-ES"/>
        </w:rPr>
        <w:t xml:space="preserve"> con las </w:t>
      </w:r>
      <w:r w:rsidRPr="00941067">
        <w:rPr>
          <w:rFonts w:ascii="Arial" w:hAnsi="Arial" w:cs="Arial"/>
          <w:sz w:val="20"/>
          <w:szCs w:val="20"/>
          <w:lang w:val="es-ES"/>
        </w:rPr>
        <w:t>drogas».</w:t>
      </w:r>
      <w:bookmarkStart w:id="0" w:name="_GoBack"/>
      <w:bookmarkEnd w:id="0"/>
    </w:p>
    <w:sectPr w:rsidR="00F95A34" w:rsidRPr="00591A7A" w:rsidSect="00E0331A">
      <w:headerReference w:type="default" r:id="rId10"/>
      <w:footerReference w:type="default" r:id="rId11"/>
      <w:footerReference w:type="first" r:id="rId12"/>
      <w:type w:val="continuous"/>
      <w:pgSz w:w="11906" w:h="16838" w:code="9"/>
      <w:pgMar w:top="1276" w:right="1276" w:bottom="993" w:left="1276" w:header="73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C58" w:rsidRDefault="00DA4C58" w:rsidP="009A28FB">
      <w:pPr>
        <w:spacing w:after="0" w:line="240" w:lineRule="auto"/>
      </w:pPr>
      <w:r>
        <w:separator/>
      </w:r>
    </w:p>
  </w:endnote>
  <w:endnote w:type="continuationSeparator" w:id="0">
    <w:p w:rsidR="00DA4C58" w:rsidRDefault="00DA4C58" w:rsidP="009A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15" w:type="dxa"/>
      <w:tblInd w:w="-510" w:type="dxa"/>
      <w:tblCellMar>
        <w:left w:w="57" w:type="dxa"/>
        <w:right w:w="57" w:type="dxa"/>
      </w:tblCellMar>
      <w:tblLook w:val="00A0" w:firstRow="1" w:lastRow="0" w:firstColumn="1" w:lastColumn="0" w:noHBand="0" w:noVBand="0"/>
    </w:tblPr>
    <w:tblGrid>
      <w:gridCol w:w="8505"/>
      <w:gridCol w:w="1310"/>
    </w:tblGrid>
    <w:tr w:rsidR="00BB5586" w:rsidRPr="00CA69F1" w:rsidTr="0057051E">
      <w:tc>
        <w:tcPr>
          <w:tcW w:w="8505" w:type="dxa"/>
        </w:tcPr>
        <w:p w:rsidR="00BB5586" w:rsidRPr="0057051E" w:rsidRDefault="00BB5586" w:rsidP="00412D4F">
          <w:pPr>
            <w:pStyle w:val="newsCoordinates"/>
            <w:rPr>
              <w:lang w:val="es-ES"/>
            </w:rPr>
          </w:pPr>
          <w:r>
            <w:rPr>
              <w:noProof/>
              <w:lang w:eastAsia="en-GB"/>
            </w:rPr>
            <mc:AlternateContent>
              <mc:Choice Requires="wps">
                <w:drawing>
                  <wp:anchor distT="0" distB="0" distL="114299" distR="114299" simplePos="0" relativeHeight="251662336" behindDoc="1" locked="0" layoutInCell="1" allowOverlap="1">
                    <wp:simplePos x="0" y="0"/>
                    <wp:positionH relativeFrom="page">
                      <wp:posOffset>32229</wp:posOffset>
                    </wp:positionH>
                    <wp:positionV relativeFrom="page">
                      <wp:posOffset>-110696</wp:posOffset>
                    </wp:positionV>
                    <wp:extent cx="0" cy="218782"/>
                    <wp:effectExtent l="0" t="0" r="19050" b="1016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8782"/>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541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55pt,-8.7pt" to="2.5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" strokecolor="#009" strokeweight="1.5pt">
                    <o:lock v:ext="edit" shapetype="f"/>
                    <w10:wrap anchorx="page" anchory="page"/>
                  </v:line>
                </w:pict>
              </mc:Fallback>
            </mc:AlternateContent>
          </w:r>
          <w:r w:rsidRPr="0057051E">
            <w:rPr>
              <w:noProof/>
              <w:lang w:val="es-ES"/>
            </w:rPr>
            <w:t>P</w:t>
          </w:r>
          <w:r>
            <w:rPr>
              <w:noProof/>
              <w:lang w:val="es-ES"/>
            </w:rPr>
            <w:t xml:space="preserve">erspectivas sobre las drogas — </w:t>
          </w:r>
          <w:r w:rsidRPr="0057051E">
            <w:rPr>
              <w:noProof/>
              <w:lang w:val="es-ES"/>
            </w:rPr>
            <w:t>disponible en inglés en www.emcdda.europa.eu/edr2014</w:t>
          </w:r>
        </w:p>
      </w:tc>
      <w:tc>
        <w:tcPr>
          <w:tcW w:w="1310" w:type="dxa"/>
          <w:vAlign w:val="bottom"/>
        </w:tcPr>
        <w:p w:rsidR="00BB5586" w:rsidRPr="0057051E" w:rsidRDefault="00BB5586" w:rsidP="00C475E1">
          <w:pPr>
            <w:pStyle w:val="newsReference"/>
            <w:rPr>
              <w:lang w:val="es-ES"/>
            </w:rPr>
          </w:pPr>
        </w:p>
      </w:tc>
    </w:tr>
  </w:tbl>
  <w:p w:rsidR="00BB5586" w:rsidRPr="003320A1" w:rsidRDefault="00BB5586">
    <w:pPr>
      <w:pStyle w:val="Footer"/>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510" w:type="dxa"/>
      <w:tblCellMar>
        <w:left w:w="57" w:type="dxa"/>
        <w:right w:w="57" w:type="dxa"/>
      </w:tblCellMar>
      <w:tblLook w:val="00A0" w:firstRow="1" w:lastRow="0" w:firstColumn="1" w:lastColumn="0" w:noHBand="0" w:noVBand="0"/>
    </w:tblPr>
    <w:tblGrid>
      <w:gridCol w:w="7196"/>
      <w:gridCol w:w="3294"/>
    </w:tblGrid>
    <w:tr w:rsidR="00BB5586" w:rsidRPr="0057051E" w:rsidTr="0057051E">
      <w:tc>
        <w:tcPr>
          <w:tcW w:w="7196" w:type="dxa"/>
        </w:tcPr>
        <w:p w:rsidR="00BB5586" w:rsidRPr="00C776F4" w:rsidRDefault="00BB5586" w:rsidP="00882AF9">
          <w:pPr>
            <w:pStyle w:val="newsCoordinates"/>
            <w:rPr>
              <w:lang w:val="es-ES"/>
            </w:rPr>
          </w:pPr>
          <w:r>
            <w:rPr>
              <w:noProof/>
              <w:lang w:eastAsia="en-GB"/>
            </w:rPr>
            <mc:AlternateContent>
              <mc:Choice Requires="wps">
                <w:drawing>
                  <wp:anchor distT="0" distB="0" distL="114299" distR="114299" simplePos="0" relativeHeight="251664384" behindDoc="1" locked="0" layoutInCell="1" allowOverlap="1">
                    <wp:simplePos x="0" y="0"/>
                    <wp:positionH relativeFrom="page">
                      <wp:posOffset>32229</wp:posOffset>
                    </wp:positionH>
                    <wp:positionV relativeFrom="page">
                      <wp:posOffset>25497</wp:posOffset>
                    </wp:positionV>
                    <wp:extent cx="0" cy="353419"/>
                    <wp:effectExtent l="0" t="0" r="19050" b="2794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3419"/>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20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55pt,2pt" to="2.5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" strokecolor="#009" strokeweight="1.5pt">
                    <o:lock v:ext="edit" shapetype="f"/>
                    <w10:wrap anchorx="page" anchory="page"/>
                  </v:line>
                </w:pict>
              </mc:Fallback>
            </mc:AlternateContent>
          </w:r>
          <w:r w:rsidRPr="00C776F4">
            <w:rPr>
              <w:lang w:val="es-ES"/>
            </w:rPr>
            <w:t xml:space="preserve">Contacto: Kathy Robertson, Relaciones con los medios </w:t>
          </w:r>
        </w:p>
        <w:p w:rsidR="00BB5586" w:rsidRPr="0057051E" w:rsidRDefault="00BB5586" w:rsidP="00882AF9">
          <w:pPr>
            <w:pStyle w:val="newsCoordinates"/>
            <w:rPr>
              <w:lang w:val="pt-PT"/>
            </w:rPr>
          </w:pPr>
          <w:r w:rsidRPr="0057051E">
            <w:rPr>
              <w:lang w:val="pt-PT"/>
            </w:rPr>
            <w:t>Praça Europa 1, Cais do Sodré, 1249-289 Lisboa, Portugal</w:t>
          </w:r>
        </w:p>
        <w:p w:rsidR="00BB5586" w:rsidRPr="00C776F4" w:rsidRDefault="00BB5586" w:rsidP="003B00EE">
          <w:pPr>
            <w:pStyle w:val="newsCoordinates"/>
            <w:rPr>
              <w:lang w:val="pt-PT"/>
            </w:rPr>
          </w:pPr>
          <w:r w:rsidRPr="00C776F4">
            <w:rPr>
              <w:lang w:val="pt-PT"/>
            </w:rPr>
            <w:t xml:space="preserve">Tel. (351) 211 21 02 00 </w:t>
          </w:r>
          <w:r w:rsidRPr="00C776F4">
            <w:rPr>
              <w:sz w:val="18"/>
              <w:lang w:val="pt-PT"/>
            </w:rPr>
            <w:t xml:space="preserve">I </w:t>
          </w:r>
          <w:r w:rsidRPr="00C776F4">
            <w:rPr>
              <w:lang w:val="pt-PT"/>
            </w:rPr>
            <w:t xml:space="preserve">press@emcdda.europa.eu </w:t>
          </w:r>
          <w:r w:rsidRPr="00C776F4">
            <w:rPr>
              <w:sz w:val="18"/>
              <w:lang w:val="pt-PT"/>
            </w:rPr>
            <w:t>I</w:t>
          </w:r>
          <w:r w:rsidRPr="00C776F4">
            <w:rPr>
              <w:lang w:val="pt-PT"/>
            </w:rPr>
            <w:t xml:space="preserve"> emcdda.europa.eu</w:t>
          </w:r>
        </w:p>
      </w:tc>
      <w:tc>
        <w:tcPr>
          <w:tcW w:w="3294" w:type="dxa"/>
          <w:vAlign w:val="bottom"/>
        </w:tcPr>
        <w:p w:rsidR="00BB5586" w:rsidRPr="0057051E" w:rsidRDefault="00BB5586" w:rsidP="00882AF9">
          <w:pPr>
            <w:pStyle w:val="newsReference"/>
            <w:rPr>
              <w:lang w:val="es-ES"/>
            </w:rPr>
          </w:pPr>
          <w:r w:rsidRPr="0057051E">
            <w:rPr>
              <w:lang w:val="es-ES"/>
            </w:rPr>
            <w:t>ES - Nº 4/2014</w:t>
          </w:r>
        </w:p>
      </w:tc>
    </w:tr>
  </w:tbl>
  <w:p w:rsidR="00BB5586" w:rsidRDefault="00BB55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C58" w:rsidRDefault="00DA4C58" w:rsidP="009A28FB">
      <w:pPr>
        <w:spacing w:after="0" w:line="240" w:lineRule="auto"/>
      </w:pPr>
      <w:r>
        <w:separator/>
      </w:r>
    </w:p>
  </w:footnote>
  <w:footnote w:type="continuationSeparator" w:id="0">
    <w:p w:rsidR="00DA4C58" w:rsidRDefault="00DA4C58" w:rsidP="009A2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510" w:type="dxa"/>
      <w:tblCellMar>
        <w:left w:w="57" w:type="dxa"/>
        <w:right w:w="57" w:type="dxa"/>
      </w:tblCellMar>
      <w:tblLook w:val="00A0" w:firstRow="1" w:lastRow="0" w:firstColumn="1" w:lastColumn="0" w:noHBand="0" w:noVBand="0"/>
    </w:tblPr>
    <w:tblGrid>
      <w:gridCol w:w="7196"/>
      <w:gridCol w:w="3294"/>
    </w:tblGrid>
    <w:tr w:rsidR="00BB5586" w:rsidRPr="0057051E" w:rsidTr="0057051E">
      <w:tc>
        <w:tcPr>
          <w:tcW w:w="7196" w:type="dxa"/>
        </w:tcPr>
        <w:p w:rsidR="00BB5586" w:rsidRPr="0057051E" w:rsidRDefault="00BB5586" w:rsidP="00CC4FDA">
          <w:pPr>
            <w:pStyle w:val="newsEmbargo"/>
            <w:rPr>
              <w:lang w:val="es-ES"/>
            </w:rPr>
          </w:pPr>
          <w:r>
            <w:rPr>
              <w:noProof/>
              <w:lang w:eastAsia="en-GB"/>
            </w:rPr>
            <mc:AlternateContent>
              <mc:Choice Requires="wps">
                <w:drawing>
                  <wp:anchor distT="0" distB="0" distL="114299" distR="114299" simplePos="0" relativeHeight="251660288" behindDoc="1" locked="0" layoutInCell="1" allowOverlap="1">
                    <wp:simplePos x="0" y="0"/>
                    <wp:positionH relativeFrom="page">
                      <wp:posOffset>35559</wp:posOffset>
                    </wp:positionH>
                    <wp:positionV relativeFrom="page">
                      <wp:posOffset>-1270</wp:posOffset>
                    </wp:positionV>
                    <wp:extent cx="0" cy="124460"/>
                    <wp:effectExtent l="0" t="0" r="19050" b="2794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446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561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8pt,-.1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" strokecolor="#009" strokeweight="1.5pt">
                    <o:lock v:ext="edit" shapetype="f"/>
                    <w10:wrap anchorx="page" anchory="page"/>
                  </v:line>
                </w:pict>
              </mc:Fallback>
            </mc:AlternateContent>
          </w:r>
          <w:r w:rsidRPr="0057051E">
            <w:rPr>
              <w:noProof/>
              <w:lang w:val="es-ES"/>
            </w:rPr>
            <w:t xml:space="preserve">Perspectivas sobre las drogas </w:t>
          </w:r>
          <w:r w:rsidRPr="0057051E">
            <w:rPr>
              <w:noProof/>
              <w:sz w:val="18"/>
              <w:lang w:val="es-ES"/>
            </w:rPr>
            <w:t>I</w:t>
          </w:r>
          <w:r w:rsidRPr="0057051E">
            <w:rPr>
              <w:noProof/>
              <w:lang w:val="es-ES"/>
            </w:rPr>
            <w:t xml:space="preserve"> </w:t>
          </w:r>
          <w:r w:rsidRPr="00C776F4">
            <w:rPr>
              <w:b/>
              <w:noProof/>
              <w:color w:val="FF0000"/>
              <w:lang w:val="es-ES"/>
            </w:rPr>
            <w:t>No publicar hasta las 10.00 horas, hora de Lisboa</w:t>
          </w:r>
        </w:p>
      </w:tc>
      <w:tc>
        <w:tcPr>
          <w:tcW w:w="3294" w:type="dxa"/>
          <w:vAlign w:val="bottom"/>
        </w:tcPr>
        <w:p w:rsidR="00BB5586" w:rsidRPr="0057051E" w:rsidRDefault="00BB5586" w:rsidP="00C475E1">
          <w:pPr>
            <w:pStyle w:val="newsReference"/>
          </w:pPr>
          <w:r w:rsidRPr="0057051E">
            <w:t>27.5.2014</w:t>
          </w:r>
        </w:p>
      </w:tc>
    </w:tr>
  </w:tbl>
  <w:p w:rsidR="00BB5586" w:rsidRDefault="00BB55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8432D"/>
    <w:multiLevelType w:val="hybridMultilevel"/>
    <w:tmpl w:val="B8AE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2B3971"/>
    <w:multiLevelType w:val="hybridMultilevel"/>
    <w:tmpl w:val="E53A7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5AF099F"/>
    <w:multiLevelType w:val="hybridMultilevel"/>
    <w:tmpl w:val="B2B8E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99A4A56"/>
    <w:multiLevelType w:val="hybridMultilevel"/>
    <w:tmpl w:val="8A32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EBC3A3B"/>
    <w:multiLevelType w:val="hybridMultilevel"/>
    <w:tmpl w:val="9BE87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19C"/>
    <w:rsid w:val="000007AF"/>
    <w:rsid w:val="00014E8E"/>
    <w:rsid w:val="00023062"/>
    <w:rsid w:val="00036DAA"/>
    <w:rsid w:val="000406E7"/>
    <w:rsid w:val="000535B7"/>
    <w:rsid w:val="00066C5C"/>
    <w:rsid w:val="00067DD3"/>
    <w:rsid w:val="00080F9B"/>
    <w:rsid w:val="000C0188"/>
    <w:rsid w:val="000C6200"/>
    <w:rsid w:val="000C77EB"/>
    <w:rsid w:val="000D09FC"/>
    <w:rsid w:val="000D5E92"/>
    <w:rsid w:val="000E36B5"/>
    <w:rsid w:val="00105BFC"/>
    <w:rsid w:val="00107C96"/>
    <w:rsid w:val="00130564"/>
    <w:rsid w:val="00147EC6"/>
    <w:rsid w:val="001561A6"/>
    <w:rsid w:val="00164CB4"/>
    <w:rsid w:val="00167D76"/>
    <w:rsid w:val="0017713E"/>
    <w:rsid w:val="001800D0"/>
    <w:rsid w:val="001801D4"/>
    <w:rsid w:val="001848B8"/>
    <w:rsid w:val="00187B93"/>
    <w:rsid w:val="00191616"/>
    <w:rsid w:val="001A2929"/>
    <w:rsid w:val="001A3338"/>
    <w:rsid w:val="001B0A3C"/>
    <w:rsid w:val="001B74EB"/>
    <w:rsid w:val="001C05A8"/>
    <w:rsid w:val="001C795A"/>
    <w:rsid w:val="001D179B"/>
    <w:rsid w:val="001D4D0D"/>
    <w:rsid w:val="001D5C26"/>
    <w:rsid w:val="001E4544"/>
    <w:rsid w:val="001F70B4"/>
    <w:rsid w:val="001F7103"/>
    <w:rsid w:val="00213045"/>
    <w:rsid w:val="00216D75"/>
    <w:rsid w:val="00223753"/>
    <w:rsid w:val="00231487"/>
    <w:rsid w:val="0024165C"/>
    <w:rsid w:val="002419E2"/>
    <w:rsid w:val="002557B0"/>
    <w:rsid w:val="00257357"/>
    <w:rsid w:val="002646E4"/>
    <w:rsid w:val="00270DB1"/>
    <w:rsid w:val="0027252D"/>
    <w:rsid w:val="00274794"/>
    <w:rsid w:val="00276B02"/>
    <w:rsid w:val="0028141E"/>
    <w:rsid w:val="002948E2"/>
    <w:rsid w:val="002A4C05"/>
    <w:rsid w:val="002A61F7"/>
    <w:rsid w:val="002B05CE"/>
    <w:rsid w:val="002B45AC"/>
    <w:rsid w:val="002C02C3"/>
    <w:rsid w:val="002C04F0"/>
    <w:rsid w:val="002D0144"/>
    <w:rsid w:val="002D171F"/>
    <w:rsid w:val="002D7EE3"/>
    <w:rsid w:val="002E4882"/>
    <w:rsid w:val="00303D0F"/>
    <w:rsid w:val="0033158E"/>
    <w:rsid w:val="0033159F"/>
    <w:rsid w:val="003320A1"/>
    <w:rsid w:val="00332C2A"/>
    <w:rsid w:val="00333460"/>
    <w:rsid w:val="00334C24"/>
    <w:rsid w:val="00337ECC"/>
    <w:rsid w:val="00343ECE"/>
    <w:rsid w:val="00351C0D"/>
    <w:rsid w:val="00353F17"/>
    <w:rsid w:val="0036121D"/>
    <w:rsid w:val="00362443"/>
    <w:rsid w:val="00387D02"/>
    <w:rsid w:val="0039134B"/>
    <w:rsid w:val="003A0766"/>
    <w:rsid w:val="003B00EE"/>
    <w:rsid w:val="003B41B1"/>
    <w:rsid w:val="003C0395"/>
    <w:rsid w:val="003C194C"/>
    <w:rsid w:val="003C5F39"/>
    <w:rsid w:val="003C6AF1"/>
    <w:rsid w:val="003D6508"/>
    <w:rsid w:val="003D6843"/>
    <w:rsid w:val="00412D4F"/>
    <w:rsid w:val="004137B0"/>
    <w:rsid w:val="0041405E"/>
    <w:rsid w:val="00416064"/>
    <w:rsid w:val="004221D3"/>
    <w:rsid w:val="004378E7"/>
    <w:rsid w:val="00440AA3"/>
    <w:rsid w:val="0044111C"/>
    <w:rsid w:val="00442462"/>
    <w:rsid w:val="00445080"/>
    <w:rsid w:val="00454050"/>
    <w:rsid w:val="0045468D"/>
    <w:rsid w:val="00482CE8"/>
    <w:rsid w:val="004847FB"/>
    <w:rsid w:val="00491D27"/>
    <w:rsid w:val="0049452C"/>
    <w:rsid w:val="004A4982"/>
    <w:rsid w:val="004C3028"/>
    <w:rsid w:val="004D39E3"/>
    <w:rsid w:val="004D6E0C"/>
    <w:rsid w:val="004E1E22"/>
    <w:rsid w:val="004F2825"/>
    <w:rsid w:val="00511C15"/>
    <w:rsid w:val="005153AE"/>
    <w:rsid w:val="005162AE"/>
    <w:rsid w:val="00520EF1"/>
    <w:rsid w:val="00542CEE"/>
    <w:rsid w:val="00545BD5"/>
    <w:rsid w:val="00555226"/>
    <w:rsid w:val="00557FD9"/>
    <w:rsid w:val="005604A1"/>
    <w:rsid w:val="0057051E"/>
    <w:rsid w:val="00577735"/>
    <w:rsid w:val="005869C3"/>
    <w:rsid w:val="00587E09"/>
    <w:rsid w:val="00591A7A"/>
    <w:rsid w:val="005933EF"/>
    <w:rsid w:val="005944A5"/>
    <w:rsid w:val="005A0DC8"/>
    <w:rsid w:val="005B03F6"/>
    <w:rsid w:val="005B05A0"/>
    <w:rsid w:val="005B0882"/>
    <w:rsid w:val="005B1B63"/>
    <w:rsid w:val="005C13BA"/>
    <w:rsid w:val="005C4033"/>
    <w:rsid w:val="005C7C2F"/>
    <w:rsid w:val="005E3A14"/>
    <w:rsid w:val="00610C38"/>
    <w:rsid w:val="006116D9"/>
    <w:rsid w:val="00623A55"/>
    <w:rsid w:val="00623B75"/>
    <w:rsid w:val="006261FA"/>
    <w:rsid w:val="0063677C"/>
    <w:rsid w:val="00666A63"/>
    <w:rsid w:val="00671508"/>
    <w:rsid w:val="00685D83"/>
    <w:rsid w:val="00686810"/>
    <w:rsid w:val="006A448F"/>
    <w:rsid w:val="006B12EF"/>
    <w:rsid w:val="006B2842"/>
    <w:rsid w:val="006B322F"/>
    <w:rsid w:val="006C78C4"/>
    <w:rsid w:val="006D2DB3"/>
    <w:rsid w:val="006D6B82"/>
    <w:rsid w:val="006E281E"/>
    <w:rsid w:val="006E4123"/>
    <w:rsid w:val="006E67B1"/>
    <w:rsid w:val="00705E3A"/>
    <w:rsid w:val="00714A43"/>
    <w:rsid w:val="00721E67"/>
    <w:rsid w:val="00730132"/>
    <w:rsid w:val="007334CA"/>
    <w:rsid w:val="00773814"/>
    <w:rsid w:val="00774992"/>
    <w:rsid w:val="007819C2"/>
    <w:rsid w:val="00791F09"/>
    <w:rsid w:val="00794D59"/>
    <w:rsid w:val="007B0E03"/>
    <w:rsid w:val="007B1CCD"/>
    <w:rsid w:val="007B3FA7"/>
    <w:rsid w:val="007E5DE3"/>
    <w:rsid w:val="00806A62"/>
    <w:rsid w:val="00813FB5"/>
    <w:rsid w:val="00816BF3"/>
    <w:rsid w:val="008179C1"/>
    <w:rsid w:val="008230AF"/>
    <w:rsid w:val="00824B62"/>
    <w:rsid w:val="008301BA"/>
    <w:rsid w:val="00841E86"/>
    <w:rsid w:val="00853EEA"/>
    <w:rsid w:val="00870194"/>
    <w:rsid w:val="00881730"/>
    <w:rsid w:val="00882AF9"/>
    <w:rsid w:val="008B0F13"/>
    <w:rsid w:val="008C0886"/>
    <w:rsid w:val="008C1172"/>
    <w:rsid w:val="008C1B06"/>
    <w:rsid w:val="008C6C93"/>
    <w:rsid w:val="008D4910"/>
    <w:rsid w:val="008D54B3"/>
    <w:rsid w:val="008D677F"/>
    <w:rsid w:val="008E0080"/>
    <w:rsid w:val="008E3676"/>
    <w:rsid w:val="008E6E3C"/>
    <w:rsid w:val="008F177B"/>
    <w:rsid w:val="008F399E"/>
    <w:rsid w:val="00902300"/>
    <w:rsid w:val="00913325"/>
    <w:rsid w:val="009267B0"/>
    <w:rsid w:val="0092719C"/>
    <w:rsid w:val="00935DED"/>
    <w:rsid w:val="00941067"/>
    <w:rsid w:val="00944CBD"/>
    <w:rsid w:val="0094680F"/>
    <w:rsid w:val="00955F0C"/>
    <w:rsid w:val="00974A27"/>
    <w:rsid w:val="009A28FB"/>
    <w:rsid w:val="009B1A9F"/>
    <w:rsid w:val="009B54F2"/>
    <w:rsid w:val="009D54D0"/>
    <w:rsid w:val="009D6255"/>
    <w:rsid w:val="009D7B7D"/>
    <w:rsid w:val="009F2DE5"/>
    <w:rsid w:val="009F3D99"/>
    <w:rsid w:val="009F4FB0"/>
    <w:rsid w:val="00A01AF8"/>
    <w:rsid w:val="00A0788A"/>
    <w:rsid w:val="00A10B32"/>
    <w:rsid w:val="00A136AA"/>
    <w:rsid w:val="00A15FDF"/>
    <w:rsid w:val="00A16B77"/>
    <w:rsid w:val="00A1756B"/>
    <w:rsid w:val="00A22173"/>
    <w:rsid w:val="00A311EF"/>
    <w:rsid w:val="00A3254D"/>
    <w:rsid w:val="00A346AF"/>
    <w:rsid w:val="00A34B14"/>
    <w:rsid w:val="00A44BE6"/>
    <w:rsid w:val="00A519DC"/>
    <w:rsid w:val="00A650B5"/>
    <w:rsid w:val="00A661E2"/>
    <w:rsid w:val="00A662A3"/>
    <w:rsid w:val="00A71949"/>
    <w:rsid w:val="00A74389"/>
    <w:rsid w:val="00A81C24"/>
    <w:rsid w:val="00A841A9"/>
    <w:rsid w:val="00A856B7"/>
    <w:rsid w:val="00A92FBB"/>
    <w:rsid w:val="00AA15DA"/>
    <w:rsid w:val="00AA5155"/>
    <w:rsid w:val="00AA584A"/>
    <w:rsid w:val="00AB1FD1"/>
    <w:rsid w:val="00AD7BFC"/>
    <w:rsid w:val="00AE093C"/>
    <w:rsid w:val="00AE1738"/>
    <w:rsid w:val="00AF13B3"/>
    <w:rsid w:val="00AF259D"/>
    <w:rsid w:val="00AF2696"/>
    <w:rsid w:val="00B00D4D"/>
    <w:rsid w:val="00B11A35"/>
    <w:rsid w:val="00B11B73"/>
    <w:rsid w:val="00B11EB3"/>
    <w:rsid w:val="00B11F96"/>
    <w:rsid w:val="00B13F14"/>
    <w:rsid w:val="00B272F1"/>
    <w:rsid w:val="00B27941"/>
    <w:rsid w:val="00B33AAA"/>
    <w:rsid w:val="00B458EB"/>
    <w:rsid w:val="00B460E8"/>
    <w:rsid w:val="00B50AB8"/>
    <w:rsid w:val="00B51E08"/>
    <w:rsid w:val="00B57464"/>
    <w:rsid w:val="00B61036"/>
    <w:rsid w:val="00B72DD3"/>
    <w:rsid w:val="00B7335C"/>
    <w:rsid w:val="00B939A6"/>
    <w:rsid w:val="00B97BC5"/>
    <w:rsid w:val="00BA1B63"/>
    <w:rsid w:val="00BB5586"/>
    <w:rsid w:val="00BB5B77"/>
    <w:rsid w:val="00BB60CF"/>
    <w:rsid w:val="00BE21A0"/>
    <w:rsid w:val="00BE4E06"/>
    <w:rsid w:val="00BF0C8C"/>
    <w:rsid w:val="00BF1E3B"/>
    <w:rsid w:val="00BF4CCB"/>
    <w:rsid w:val="00C02367"/>
    <w:rsid w:val="00C36BC1"/>
    <w:rsid w:val="00C475E1"/>
    <w:rsid w:val="00C479D0"/>
    <w:rsid w:val="00C628C4"/>
    <w:rsid w:val="00C63254"/>
    <w:rsid w:val="00C75D9C"/>
    <w:rsid w:val="00C776F4"/>
    <w:rsid w:val="00C80E01"/>
    <w:rsid w:val="00C874C0"/>
    <w:rsid w:val="00CA2FF5"/>
    <w:rsid w:val="00CA69F1"/>
    <w:rsid w:val="00CA6F07"/>
    <w:rsid w:val="00CA704F"/>
    <w:rsid w:val="00CB1D9D"/>
    <w:rsid w:val="00CB49DA"/>
    <w:rsid w:val="00CB530F"/>
    <w:rsid w:val="00CB6871"/>
    <w:rsid w:val="00CC1F19"/>
    <w:rsid w:val="00CC4FDA"/>
    <w:rsid w:val="00CC6A8B"/>
    <w:rsid w:val="00CC7AB9"/>
    <w:rsid w:val="00CC7E71"/>
    <w:rsid w:val="00CE1BE7"/>
    <w:rsid w:val="00CF4EBF"/>
    <w:rsid w:val="00CF6944"/>
    <w:rsid w:val="00D00C7E"/>
    <w:rsid w:val="00D01335"/>
    <w:rsid w:val="00D03EC6"/>
    <w:rsid w:val="00D06C03"/>
    <w:rsid w:val="00D1526C"/>
    <w:rsid w:val="00D23EB6"/>
    <w:rsid w:val="00D261DF"/>
    <w:rsid w:val="00D27287"/>
    <w:rsid w:val="00D3312B"/>
    <w:rsid w:val="00D37865"/>
    <w:rsid w:val="00D45200"/>
    <w:rsid w:val="00D508E2"/>
    <w:rsid w:val="00D540B0"/>
    <w:rsid w:val="00D57367"/>
    <w:rsid w:val="00D6025A"/>
    <w:rsid w:val="00D646CB"/>
    <w:rsid w:val="00D66EBE"/>
    <w:rsid w:val="00D720E5"/>
    <w:rsid w:val="00D74AB2"/>
    <w:rsid w:val="00D84AE3"/>
    <w:rsid w:val="00D92A34"/>
    <w:rsid w:val="00DA4C58"/>
    <w:rsid w:val="00DC0CD9"/>
    <w:rsid w:val="00DC1196"/>
    <w:rsid w:val="00DC7F1E"/>
    <w:rsid w:val="00DD1E75"/>
    <w:rsid w:val="00DD3BCD"/>
    <w:rsid w:val="00DD3DB5"/>
    <w:rsid w:val="00DD500F"/>
    <w:rsid w:val="00DD6346"/>
    <w:rsid w:val="00DF3987"/>
    <w:rsid w:val="00DF7C96"/>
    <w:rsid w:val="00E001FE"/>
    <w:rsid w:val="00E0331A"/>
    <w:rsid w:val="00E15F0B"/>
    <w:rsid w:val="00E16F24"/>
    <w:rsid w:val="00E232DE"/>
    <w:rsid w:val="00E35A89"/>
    <w:rsid w:val="00E413AC"/>
    <w:rsid w:val="00E57C9D"/>
    <w:rsid w:val="00E66CCD"/>
    <w:rsid w:val="00E81F3D"/>
    <w:rsid w:val="00E83FC3"/>
    <w:rsid w:val="00E86B71"/>
    <w:rsid w:val="00E90C3C"/>
    <w:rsid w:val="00E92255"/>
    <w:rsid w:val="00E9414F"/>
    <w:rsid w:val="00EA4E38"/>
    <w:rsid w:val="00EB4F0D"/>
    <w:rsid w:val="00EB62E7"/>
    <w:rsid w:val="00ED1218"/>
    <w:rsid w:val="00EE23CC"/>
    <w:rsid w:val="00F010EA"/>
    <w:rsid w:val="00F022E8"/>
    <w:rsid w:val="00F04FA4"/>
    <w:rsid w:val="00F06CDE"/>
    <w:rsid w:val="00F15F1E"/>
    <w:rsid w:val="00F21CA9"/>
    <w:rsid w:val="00F231DD"/>
    <w:rsid w:val="00F23530"/>
    <w:rsid w:val="00F24096"/>
    <w:rsid w:val="00F414EF"/>
    <w:rsid w:val="00F47542"/>
    <w:rsid w:val="00F50B77"/>
    <w:rsid w:val="00F557D0"/>
    <w:rsid w:val="00F73AA5"/>
    <w:rsid w:val="00F75259"/>
    <w:rsid w:val="00F848E5"/>
    <w:rsid w:val="00F95A34"/>
    <w:rsid w:val="00FA6659"/>
    <w:rsid w:val="00FB1D61"/>
    <w:rsid w:val="00FB351B"/>
    <w:rsid w:val="00FB4DAF"/>
    <w:rsid w:val="00FC0187"/>
    <w:rsid w:val="00FC3652"/>
    <w:rsid w:val="00FC66C4"/>
    <w:rsid w:val="00FD228B"/>
    <w:rsid w:val="00FD7B6F"/>
    <w:rsid w:val="00FE3721"/>
    <w:rsid w:val="00FE4789"/>
    <w:rsid w:val="00FE5BA6"/>
    <w:rsid w:val="00FF02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B32"/>
    <w:pPr>
      <w:spacing w:after="200" w:line="276" w:lineRule="auto"/>
    </w:pPr>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28FB"/>
    <w:rPr>
      <w:rFonts w:ascii="Tahoma" w:hAnsi="Tahoma" w:cs="Tahoma"/>
      <w:sz w:val="16"/>
      <w:szCs w:val="16"/>
    </w:rPr>
  </w:style>
  <w:style w:type="paragraph" w:customStyle="1" w:styleId="newsTitle">
    <w:name w:val="newsTitle"/>
    <w:basedOn w:val="Normal"/>
    <w:autoRedefine/>
    <w:uiPriority w:val="99"/>
    <w:rsid w:val="005604A1"/>
    <w:pPr>
      <w:tabs>
        <w:tab w:val="left" w:pos="5205"/>
      </w:tabs>
      <w:spacing w:before="360" w:after="112" w:line="240" w:lineRule="exact"/>
    </w:pPr>
    <w:rPr>
      <w:rFonts w:ascii="Arial" w:hAnsi="Arial"/>
      <w:caps/>
      <w:lang w:val="es-ES_tradnl"/>
    </w:rPr>
  </w:style>
  <w:style w:type="paragraph" w:styleId="Header">
    <w:name w:val="header"/>
    <w:basedOn w:val="Normal"/>
    <w:link w:val="HeaderChar"/>
    <w:uiPriority w:val="99"/>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E3721"/>
    <w:rPr>
      <w:rFonts w:cs="Times New Roman"/>
    </w:rPr>
  </w:style>
  <w:style w:type="paragraph" w:styleId="Footer">
    <w:name w:val="footer"/>
    <w:basedOn w:val="Normal"/>
    <w:link w:val="FooterChar"/>
    <w:uiPriority w:val="99"/>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A28FB"/>
    <w:rPr>
      <w:rFonts w:cs="Times New Roman"/>
    </w:rPr>
  </w:style>
  <w:style w:type="character" w:styleId="Hyperlink">
    <w:name w:val="Hyperlink"/>
    <w:basedOn w:val="DefaultParagraphFont"/>
    <w:uiPriority w:val="99"/>
    <w:rsid w:val="00A661E2"/>
    <w:rPr>
      <w:rFonts w:ascii="Arial" w:hAnsi="Arial" w:cs="Times New Roman"/>
      <w:color w:val="003399"/>
      <w:sz w:val="17"/>
      <w:u w:val="none"/>
    </w:rPr>
  </w:style>
  <w:style w:type="paragraph" w:customStyle="1" w:styleId="newsSubTitle">
    <w:name w:val="newsSubTitle"/>
    <w:basedOn w:val="Normal"/>
    <w:autoRedefine/>
    <w:uiPriority w:val="99"/>
    <w:rsid w:val="00C80E01"/>
    <w:pPr>
      <w:spacing w:after="300" w:line="300" w:lineRule="exact"/>
    </w:pPr>
    <w:rPr>
      <w:rFonts w:ascii="Arial" w:hAnsi="Arial"/>
      <w:b/>
      <w:lang w:val="es-ES_tradnl"/>
    </w:rPr>
  </w:style>
  <w:style w:type="paragraph" w:customStyle="1" w:styleId="newsContent">
    <w:name w:val="newsContent"/>
    <w:basedOn w:val="Normal"/>
    <w:link w:val="newsContentChar"/>
    <w:autoRedefine/>
    <w:uiPriority w:val="99"/>
    <w:rsid w:val="00A519DC"/>
    <w:pPr>
      <w:spacing w:after="0" w:line="260" w:lineRule="exact"/>
    </w:pPr>
    <w:rPr>
      <w:rFonts w:ascii="Arial" w:hAnsi="Arial" w:cs="Arial"/>
      <w:color w:val="000000"/>
      <w:sz w:val="20"/>
      <w:szCs w:val="20"/>
    </w:rPr>
  </w:style>
  <w:style w:type="paragraph" w:customStyle="1" w:styleId="newsAddress">
    <w:name w:val="newsAddress"/>
    <w:basedOn w:val="Footer"/>
    <w:autoRedefine/>
    <w:uiPriority w:val="99"/>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uiPriority w:val="99"/>
    <w:rsid w:val="00C475E1"/>
    <w:pPr>
      <w:spacing w:after="0" w:line="200" w:lineRule="exact"/>
      <w:ind w:left="1819" w:hanging="425"/>
    </w:pPr>
    <w:rPr>
      <w:rFonts w:ascii="Arial" w:hAnsi="Arial"/>
      <w:sz w:val="14"/>
    </w:rPr>
  </w:style>
  <w:style w:type="paragraph" w:customStyle="1" w:styleId="newsRef">
    <w:name w:val="newsRef"/>
    <w:basedOn w:val="newsAddress"/>
    <w:autoRedefine/>
    <w:uiPriority w:val="99"/>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rFonts w:cs="Times New Roman"/>
      <w:color w:val="808080"/>
    </w:rPr>
  </w:style>
  <w:style w:type="paragraph" w:customStyle="1" w:styleId="newsCoordinates">
    <w:name w:val="newsCoordinates"/>
    <w:basedOn w:val="Footer"/>
    <w:autoRedefine/>
    <w:uiPriority w:val="99"/>
    <w:rsid w:val="00FC0187"/>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autoRedefine/>
    <w:uiPriority w:val="99"/>
    <w:rsid w:val="002948E2"/>
    <w:rPr>
      <w:color w:val="000000"/>
      <w:sz w:val="15"/>
    </w:rPr>
  </w:style>
  <w:style w:type="paragraph" w:customStyle="1" w:styleId="newsDate">
    <w:name w:val="newsDate"/>
    <w:basedOn w:val="newsEmbargo"/>
    <w:autoRedefine/>
    <w:uiPriority w:val="99"/>
    <w:rsid w:val="00B97BC5"/>
    <w:pPr>
      <w:jc w:val="center"/>
    </w:pPr>
  </w:style>
  <w:style w:type="paragraph" w:customStyle="1" w:styleId="newsNotes">
    <w:name w:val="newsNotes"/>
    <w:basedOn w:val="newsContent"/>
    <w:link w:val="newsNotesChar"/>
    <w:autoRedefine/>
    <w:uiPriority w:val="99"/>
    <w:rsid w:val="00CB49DA"/>
    <w:pPr>
      <w:spacing w:line="220" w:lineRule="exact"/>
    </w:pPr>
    <w:rPr>
      <w:color w:val="auto"/>
      <w:sz w:val="17"/>
    </w:rPr>
  </w:style>
  <w:style w:type="table" w:styleId="TableGrid">
    <w:name w:val="Table Grid"/>
    <w:basedOn w:val="TableNormal"/>
    <w:uiPriority w:val="99"/>
    <w:rsid w:val="00FE47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uiPriority w:val="99"/>
    <w:rsid w:val="00D84AE3"/>
    <w:rPr>
      <w:rFonts w:ascii="Comic Sans MS" w:eastAsia="Times New Roman" w:hAnsi="Comic Sans MS"/>
      <w:color w:val="0000FF"/>
      <w:sz w:val="24"/>
      <w:szCs w:val="20"/>
      <w:lang w:val="en-US" w:eastAsia="en-US"/>
    </w:rPr>
  </w:style>
  <w:style w:type="paragraph" w:customStyle="1" w:styleId="newsNotesNumber">
    <w:name w:val="newsNotesNumber"/>
    <w:basedOn w:val="newsNotes"/>
    <w:next w:val="Normal"/>
    <w:link w:val="newsNotesNumberChar"/>
    <w:autoRedefine/>
    <w:uiPriority w:val="99"/>
    <w:rsid w:val="00CB49DA"/>
    <w:rPr>
      <w:vertAlign w:val="superscript"/>
    </w:rPr>
  </w:style>
  <w:style w:type="character" w:customStyle="1" w:styleId="newsContentChar">
    <w:name w:val="newsContent Char"/>
    <w:basedOn w:val="DefaultParagraphFont"/>
    <w:link w:val="newsContent"/>
    <w:uiPriority w:val="99"/>
    <w:locked/>
    <w:rsid w:val="00A519DC"/>
    <w:rPr>
      <w:rFonts w:ascii="Arial" w:hAnsi="Arial" w:cs="Arial"/>
      <w:color w:val="000000"/>
      <w:sz w:val="20"/>
      <w:szCs w:val="20"/>
    </w:rPr>
  </w:style>
  <w:style w:type="character" w:customStyle="1" w:styleId="newsNotesChar">
    <w:name w:val="newsNotes Char"/>
    <w:basedOn w:val="newsContentChar"/>
    <w:link w:val="newsNotes"/>
    <w:uiPriority w:val="99"/>
    <w:locked/>
    <w:rsid w:val="00CB49DA"/>
    <w:rPr>
      <w:rFonts w:ascii="Arial" w:hAnsi="Arial" w:cs="Arial"/>
      <w:color w:val="000000"/>
      <w:sz w:val="20"/>
      <w:szCs w:val="20"/>
    </w:rPr>
  </w:style>
  <w:style w:type="character" w:customStyle="1" w:styleId="newsNotesNumberChar">
    <w:name w:val="newsNotesNumber Char"/>
    <w:basedOn w:val="newsNotesChar"/>
    <w:link w:val="newsNotesNumber"/>
    <w:uiPriority w:val="99"/>
    <w:locked/>
    <w:rsid w:val="00CB49DA"/>
    <w:rPr>
      <w:rFonts w:ascii="Arial" w:hAnsi="Arial" w:cs="Arial"/>
      <w:color w:val="000000"/>
      <w:sz w:val="20"/>
      <w:szCs w:val="20"/>
      <w:vertAlign w:val="superscript"/>
    </w:rPr>
  </w:style>
  <w:style w:type="paragraph" w:styleId="ListParagraph">
    <w:name w:val="List Paragraph"/>
    <w:basedOn w:val="Normal"/>
    <w:uiPriority w:val="99"/>
    <w:qFormat/>
    <w:rsid w:val="006261FA"/>
    <w:pPr>
      <w:ind w:left="720"/>
      <w:contextualSpacing/>
    </w:pPr>
  </w:style>
  <w:style w:type="paragraph" w:styleId="Title">
    <w:name w:val="Title"/>
    <w:basedOn w:val="Normal"/>
    <w:next w:val="Normal"/>
    <w:link w:val="TitleChar"/>
    <w:uiPriority w:val="99"/>
    <w:qFormat/>
    <w:rsid w:val="000D5E92"/>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basedOn w:val="DefaultParagraphFont"/>
    <w:link w:val="Title"/>
    <w:uiPriority w:val="99"/>
    <w:locked/>
    <w:rsid w:val="000D5E92"/>
    <w:rPr>
      <w:rFonts w:ascii="Cambria" w:hAnsi="Cambria" w:cs="Times New Roman"/>
      <w:spacing w:val="5"/>
      <w:sz w:val="52"/>
      <w:szCs w:val="52"/>
    </w:rPr>
  </w:style>
  <w:style w:type="paragraph" w:styleId="CommentText">
    <w:name w:val="annotation text"/>
    <w:basedOn w:val="Normal"/>
    <w:link w:val="CommentTextChar"/>
    <w:uiPriority w:val="99"/>
    <w:rsid w:val="006E67B1"/>
    <w:pPr>
      <w:spacing w:line="240" w:lineRule="auto"/>
    </w:pPr>
    <w:rPr>
      <w:sz w:val="20"/>
      <w:szCs w:val="20"/>
    </w:rPr>
  </w:style>
  <w:style w:type="character" w:customStyle="1" w:styleId="CommentTextChar">
    <w:name w:val="Comment Text Char"/>
    <w:basedOn w:val="DefaultParagraphFont"/>
    <w:link w:val="CommentText"/>
    <w:uiPriority w:val="99"/>
    <w:locked/>
    <w:rsid w:val="006E67B1"/>
    <w:rPr>
      <w:rFonts w:cs="Times New Roman"/>
      <w:sz w:val="20"/>
      <w:szCs w:val="20"/>
    </w:rPr>
  </w:style>
  <w:style w:type="character" w:styleId="CommentReference">
    <w:name w:val="annotation reference"/>
    <w:basedOn w:val="DefaultParagraphFont"/>
    <w:uiPriority w:val="99"/>
    <w:semiHidden/>
    <w:rsid w:val="00CC7AB9"/>
    <w:rPr>
      <w:rFonts w:cs="Times New Roman"/>
      <w:sz w:val="16"/>
      <w:szCs w:val="16"/>
    </w:rPr>
  </w:style>
  <w:style w:type="paragraph" w:styleId="CommentSubject">
    <w:name w:val="annotation subject"/>
    <w:basedOn w:val="CommentText"/>
    <w:next w:val="CommentText"/>
    <w:link w:val="CommentSubjectChar"/>
    <w:uiPriority w:val="99"/>
    <w:semiHidden/>
    <w:rsid w:val="00CC7AB9"/>
    <w:rPr>
      <w:b/>
      <w:bCs/>
    </w:rPr>
  </w:style>
  <w:style w:type="character" w:customStyle="1" w:styleId="CommentSubjectChar">
    <w:name w:val="Comment Subject Char"/>
    <w:basedOn w:val="CommentTextChar"/>
    <w:link w:val="CommentSubject"/>
    <w:uiPriority w:val="99"/>
    <w:semiHidden/>
    <w:locked/>
    <w:rsid w:val="00CC7AB9"/>
    <w:rPr>
      <w:rFonts w:cs="Times New Roman"/>
      <w:b/>
      <w:bCs/>
      <w:sz w:val="20"/>
      <w:szCs w:val="20"/>
    </w:rPr>
  </w:style>
  <w:style w:type="paragraph" w:customStyle="1" w:styleId="newscontent0">
    <w:name w:val="newscontent"/>
    <w:basedOn w:val="Normal"/>
    <w:uiPriority w:val="99"/>
    <w:rsid w:val="00DD3DB5"/>
    <w:pPr>
      <w:spacing w:before="100" w:beforeAutospacing="1" w:after="100" w:afterAutospacing="1" w:line="240" w:lineRule="auto"/>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B32"/>
    <w:pPr>
      <w:spacing w:after="200" w:line="276" w:lineRule="auto"/>
    </w:pPr>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28FB"/>
    <w:rPr>
      <w:rFonts w:ascii="Tahoma" w:hAnsi="Tahoma" w:cs="Tahoma"/>
      <w:sz w:val="16"/>
      <w:szCs w:val="16"/>
    </w:rPr>
  </w:style>
  <w:style w:type="paragraph" w:customStyle="1" w:styleId="newsTitle">
    <w:name w:val="newsTitle"/>
    <w:basedOn w:val="Normal"/>
    <w:autoRedefine/>
    <w:uiPriority w:val="99"/>
    <w:rsid w:val="005604A1"/>
    <w:pPr>
      <w:tabs>
        <w:tab w:val="left" w:pos="5205"/>
      </w:tabs>
      <w:spacing w:before="360" w:after="112" w:line="240" w:lineRule="exact"/>
    </w:pPr>
    <w:rPr>
      <w:rFonts w:ascii="Arial" w:hAnsi="Arial"/>
      <w:caps/>
      <w:lang w:val="es-ES_tradnl"/>
    </w:rPr>
  </w:style>
  <w:style w:type="paragraph" w:styleId="Header">
    <w:name w:val="header"/>
    <w:basedOn w:val="Normal"/>
    <w:link w:val="HeaderChar"/>
    <w:uiPriority w:val="99"/>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E3721"/>
    <w:rPr>
      <w:rFonts w:cs="Times New Roman"/>
    </w:rPr>
  </w:style>
  <w:style w:type="paragraph" w:styleId="Footer">
    <w:name w:val="footer"/>
    <w:basedOn w:val="Normal"/>
    <w:link w:val="FooterChar"/>
    <w:uiPriority w:val="99"/>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A28FB"/>
    <w:rPr>
      <w:rFonts w:cs="Times New Roman"/>
    </w:rPr>
  </w:style>
  <w:style w:type="character" w:styleId="Hyperlink">
    <w:name w:val="Hyperlink"/>
    <w:basedOn w:val="DefaultParagraphFont"/>
    <w:uiPriority w:val="99"/>
    <w:rsid w:val="00A661E2"/>
    <w:rPr>
      <w:rFonts w:ascii="Arial" w:hAnsi="Arial" w:cs="Times New Roman"/>
      <w:color w:val="003399"/>
      <w:sz w:val="17"/>
      <w:u w:val="none"/>
    </w:rPr>
  </w:style>
  <w:style w:type="paragraph" w:customStyle="1" w:styleId="newsSubTitle">
    <w:name w:val="newsSubTitle"/>
    <w:basedOn w:val="Normal"/>
    <w:autoRedefine/>
    <w:uiPriority w:val="99"/>
    <w:rsid w:val="00C80E01"/>
    <w:pPr>
      <w:spacing w:after="300" w:line="300" w:lineRule="exact"/>
    </w:pPr>
    <w:rPr>
      <w:rFonts w:ascii="Arial" w:hAnsi="Arial"/>
      <w:b/>
      <w:lang w:val="es-ES_tradnl"/>
    </w:rPr>
  </w:style>
  <w:style w:type="paragraph" w:customStyle="1" w:styleId="newsContent">
    <w:name w:val="newsContent"/>
    <w:basedOn w:val="Normal"/>
    <w:link w:val="newsContentChar"/>
    <w:autoRedefine/>
    <w:uiPriority w:val="99"/>
    <w:rsid w:val="00A519DC"/>
    <w:pPr>
      <w:spacing w:after="0" w:line="260" w:lineRule="exact"/>
    </w:pPr>
    <w:rPr>
      <w:rFonts w:ascii="Arial" w:hAnsi="Arial" w:cs="Arial"/>
      <w:color w:val="000000"/>
      <w:sz w:val="20"/>
      <w:szCs w:val="20"/>
    </w:rPr>
  </w:style>
  <w:style w:type="paragraph" w:customStyle="1" w:styleId="newsAddress">
    <w:name w:val="newsAddress"/>
    <w:basedOn w:val="Footer"/>
    <w:autoRedefine/>
    <w:uiPriority w:val="99"/>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uiPriority w:val="99"/>
    <w:rsid w:val="00C475E1"/>
    <w:pPr>
      <w:spacing w:after="0" w:line="200" w:lineRule="exact"/>
      <w:ind w:left="1819" w:hanging="425"/>
    </w:pPr>
    <w:rPr>
      <w:rFonts w:ascii="Arial" w:hAnsi="Arial"/>
      <w:sz w:val="14"/>
    </w:rPr>
  </w:style>
  <w:style w:type="paragraph" w:customStyle="1" w:styleId="newsRef">
    <w:name w:val="newsRef"/>
    <w:basedOn w:val="newsAddress"/>
    <w:autoRedefine/>
    <w:uiPriority w:val="99"/>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rFonts w:cs="Times New Roman"/>
      <w:color w:val="808080"/>
    </w:rPr>
  </w:style>
  <w:style w:type="paragraph" w:customStyle="1" w:styleId="newsCoordinates">
    <w:name w:val="newsCoordinates"/>
    <w:basedOn w:val="Footer"/>
    <w:autoRedefine/>
    <w:uiPriority w:val="99"/>
    <w:rsid w:val="00FC0187"/>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autoRedefine/>
    <w:uiPriority w:val="99"/>
    <w:rsid w:val="002948E2"/>
    <w:rPr>
      <w:color w:val="000000"/>
      <w:sz w:val="15"/>
    </w:rPr>
  </w:style>
  <w:style w:type="paragraph" w:customStyle="1" w:styleId="newsDate">
    <w:name w:val="newsDate"/>
    <w:basedOn w:val="newsEmbargo"/>
    <w:autoRedefine/>
    <w:uiPriority w:val="99"/>
    <w:rsid w:val="00B97BC5"/>
    <w:pPr>
      <w:jc w:val="center"/>
    </w:pPr>
  </w:style>
  <w:style w:type="paragraph" w:customStyle="1" w:styleId="newsNotes">
    <w:name w:val="newsNotes"/>
    <w:basedOn w:val="newsContent"/>
    <w:link w:val="newsNotesChar"/>
    <w:autoRedefine/>
    <w:uiPriority w:val="99"/>
    <w:rsid w:val="00CB49DA"/>
    <w:pPr>
      <w:spacing w:line="220" w:lineRule="exact"/>
    </w:pPr>
    <w:rPr>
      <w:color w:val="auto"/>
      <w:sz w:val="17"/>
    </w:rPr>
  </w:style>
  <w:style w:type="table" w:styleId="TableGrid">
    <w:name w:val="Table Grid"/>
    <w:basedOn w:val="TableNormal"/>
    <w:uiPriority w:val="99"/>
    <w:rsid w:val="00FE47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uiPriority w:val="99"/>
    <w:rsid w:val="00D84AE3"/>
    <w:rPr>
      <w:rFonts w:ascii="Comic Sans MS" w:eastAsia="Times New Roman" w:hAnsi="Comic Sans MS"/>
      <w:color w:val="0000FF"/>
      <w:sz w:val="24"/>
      <w:szCs w:val="20"/>
      <w:lang w:val="en-US" w:eastAsia="en-US"/>
    </w:rPr>
  </w:style>
  <w:style w:type="paragraph" w:customStyle="1" w:styleId="newsNotesNumber">
    <w:name w:val="newsNotesNumber"/>
    <w:basedOn w:val="newsNotes"/>
    <w:next w:val="Normal"/>
    <w:link w:val="newsNotesNumberChar"/>
    <w:autoRedefine/>
    <w:uiPriority w:val="99"/>
    <w:rsid w:val="00CB49DA"/>
    <w:rPr>
      <w:vertAlign w:val="superscript"/>
    </w:rPr>
  </w:style>
  <w:style w:type="character" w:customStyle="1" w:styleId="newsContentChar">
    <w:name w:val="newsContent Char"/>
    <w:basedOn w:val="DefaultParagraphFont"/>
    <w:link w:val="newsContent"/>
    <w:uiPriority w:val="99"/>
    <w:locked/>
    <w:rsid w:val="00A519DC"/>
    <w:rPr>
      <w:rFonts w:ascii="Arial" w:hAnsi="Arial" w:cs="Arial"/>
      <w:color w:val="000000"/>
      <w:sz w:val="20"/>
      <w:szCs w:val="20"/>
    </w:rPr>
  </w:style>
  <w:style w:type="character" w:customStyle="1" w:styleId="newsNotesChar">
    <w:name w:val="newsNotes Char"/>
    <w:basedOn w:val="newsContentChar"/>
    <w:link w:val="newsNotes"/>
    <w:uiPriority w:val="99"/>
    <w:locked/>
    <w:rsid w:val="00CB49DA"/>
    <w:rPr>
      <w:rFonts w:ascii="Arial" w:hAnsi="Arial" w:cs="Arial"/>
      <w:color w:val="000000"/>
      <w:sz w:val="20"/>
      <w:szCs w:val="20"/>
    </w:rPr>
  </w:style>
  <w:style w:type="character" w:customStyle="1" w:styleId="newsNotesNumberChar">
    <w:name w:val="newsNotesNumber Char"/>
    <w:basedOn w:val="newsNotesChar"/>
    <w:link w:val="newsNotesNumber"/>
    <w:uiPriority w:val="99"/>
    <w:locked/>
    <w:rsid w:val="00CB49DA"/>
    <w:rPr>
      <w:rFonts w:ascii="Arial" w:hAnsi="Arial" w:cs="Arial"/>
      <w:color w:val="000000"/>
      <w:sz w:val="20"/>
      <w:szCs w:val="20"/>
      <w:vertAlign w:val="superscript"/>
    </w:rPr>
  </w:style>
  <w:style w:type="paragraph" w:styleId="ListParagraph">
    <w:name w:val="List Paragraph"/>
    <w:basedOn w:val="Normal"/>
    <w:uiPriority w:val="99"/>
    <w:qFormat/>
    <w:rsid w:val="006261FA"/>
    <w:pPr>
      <w:ind w:left="720"/>
      <w:contextualSpacing/>
    </w:pPr>
  </w:style>
  <w:style w:type="paragraph" w:styleId="Title">
    <w:name w:val="Title"/>
    <w:basedOn w:val="Normal"/>
    <w:next w:val="Normal"/>
    <w:link w:val="TitleChar"/>
    <w:uiPriority w:val="99"/>
    <w:qFormat/>
    <w:rsid w:val="000D5E92"/>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basedOn w:val="DefaultParagraphFont"/>
    <w:link w:val="Title"/>
    <w:uiPriority w:val="99"/>
    <w:locked/>
    <w:rsid w:val="000D5E92"/>
    <w:rPr>
      <w:rFonts w:ascii="Cambria" w:hAnsi="Cambria" w:cs="Times New Roman"/>
      <w:spacing w:val="5"/>
      <w:sz w:val="52"/>
      <w:szCs w:val="52"/>
    </w:rPr>
  </w:style>
  <w:style w:type="paragraph" w:styleId="CommentText">
    <w:name w:val="annotation text"/>
    <w:basedOn w:val="Normal"/>
    <w:link w:val="CommentTextChar"/>
    <w:uiPriority w:val="99"/>
    <w:rsid w:val="006E67B1"/>
    <w:pPr>
      <w:spacing w:line="240" w:lineRule="auto"/>
    </w:pPr>
    <w:rPr>
      <w:sz w:val="20"/>
      <w:szCs w:val="20"/>
    </w:rPr>
  </w:style>
  <w:style w:type="character" w:customStyle="1" w:styleId="CommentTextChar">
    <w:name w:val="Comment Text Char"/>
    <w:basedOn w:val="DefaultParagraphFont"/>
    <w:link w:val="CommentText"/>
    <w:uiPriority w:val="99"/>
    <w:locked/>
    <w:rsid w:val="006E67B1"/>
    <w:rPr>
      <w:rFonts w:cs="Times New Roman"/>
      <w:sz w:val="20"/>
      <w:szCs w:val="20"/>
    </w:rPr>
  </w:style>
  <w:style w:type="character" w:styleId="CommentReference">
    <w:name w:val="annotation reference"/>
    <w:basedOn w:val="DefaultParagraphFont"/>
    <w:uiPriority w:val="99"/>
    <w:semiHidden/>
    <w:rsid w:val="00CC7AB9"/>
    <w:rPr>
      <w:rFonts w:cs="Times New Roman"/>
      <w:sz w:val="16"/>
      <w:szCs w:val="16"/>
    </w:rPr>
  </w:style>
  <w:style w:type="paragraph" w:styleId="CommentSubject">
    <w:name w:val="annotation subject"/>
    <w:basedOn w:val="CommentText"/>
    <w:next w:val="CommentText"/>
    <w:link w:val="CommentSubjectChar"/>
    <w:uiPriority w:val="99"/>
    <w:semiHidden/>
    <w:rsid w:val="00CC7AB9"/>
    <w:rPr>
      <w:b/>
      <w:bCs/>
    </w:rPr>
  </w:style>
  <w:style w:type="character" w:customStyle="1" w:styleId="CommentSubjectChar">
    <w:name w:val="Comment Subject Char"/>
    <w:basedOn w:val="CommentTextChar"/>
    <w:link w:val="CommentSubject"/>
    <w:uiPriority w:val="99"/>
    <w:semiHidden/>
    <w:locked/>
    <w:rsid w:val="00CC7AB9"/>
    <w:rPr>
      <w:rFonts w:cs="Times New Roman"/>
      <w:b/>
      <w:bCs/>
      <w:sz w:val="20"/>
      <w:szCs w:val="20"/>
    </w:rPr>
  </w:style>
  <w:style w:type="paragraph" w:customStyle="1" w:styleId="newscontent0">
    <w:name w:val="newscontent"/>
    <w:basedOn w:val="Normal"/>
    <w:uiPriority w:val="99"/>
    <w:rsid w:val="00DD3DB5"/>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693762">
      <w:marLeft w:val="0"/>
      <w:marRight w:val="0"/>
      <w:marTop w:val="0"/>
      <w:marBottom w:val="0"/>
      <w:divBdr>
        <w:top w:val="none" w:sz="0" w:space="0" w:color="auto"/>
        <w:left w:val="none" w:sz="0" w:space="0" w:color="auto"/>
        <w:bottom w:val="none" w:sz="0" w:space="0" w:color="auto"/>
        <w:right w:val="none" w:sz="0" w:space="0" w:color="auto"/>
      </w:divBdr>
    </w:div>
    <w:div w:id="1049693763">
      <w:marLeft w:val="0"/>
      <w:marRight w:val="0"/>
      <w:marTop w:val="0"/>
      <w:marBottom w:val="0"/>
      <w:divBdr>
        <w:top w:val="none" w:sz="0" w:space="0" w:color="auto"/>
        <w:left w:val="none" w:sz="0" w:space="0" w:color="auto"/>
        <w:bottom w:val="none" w:sz="0" w:space="0" w:color="auto"/>
        <w:right w:val="none" w:sz="0" w:space="0" w:color="auto"/>
      </w:divBdr>
    </w:div>
    <w:div w:id="1049693764">
      <w:marLeft w:val="0"/>
      <w:marRight w:val="0"/>
      <w:marTop w:val="0"/>
      <w:marBottom w:val="0"/>
      <w:divBdr>
        <w:top w:val="none" w:sz="0" w:space="0" w:color="auto"/>
        <w:left w:val="none" w:sz="0" w:space="0" w:color="auto"/>
        <w:bottom w:val="none" w:sz="0" w:space="0" w:color="auto"/>
        <w:right w:val="none" w:sz="0" w:space="0" w:color="auto"/>
      </w:divBdr>
    </w:div>
    <w:div w:id="10496937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3</Pages>
  <Words>1649</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News release EN</vt:lpstr>
    </vt:vector>
  </TitlesOfParts>
  <Company>Translation Centre</Company>
  <LinksUpToDate>false</LinksUpToDate>
  <CharactersWithSpaces>10641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EN</dc:title>
  <dc:subject>News release EN</dc:subject>
  <dc:creator>Translation Centre</dc:creator>
  <cp:keywords/>
  <dc:description/>
  <cp:lastModifiedBy>Kathryn Robertson</cp:lastModifiedBy>
  <cp:revision>9</cp:revision>
  <cp:lastPrinted>2014-05-23T13:17:00Z</cp:lastPrinted>
  <dcterms:created xsi:type="dcterms:W3CDTF">2014-05-23T09:08:00Z</dcterms:created>
  <dcterms:modified xsi:type="dcterms:W3CDTF">2014-05-23T13:29:00Z</dcterms:modified>
  <cp:category>News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EMCDDA</vt:lpwstr>
  </property>
  <property fmtid="{D5CDD505-2E9C-101B-9397-08002B2CF9AE}" pid="3" name="Editor">
    <vt:lpwstr>EMCDDA</vt:lpwstr>
  </property>
</Properties>
</file>