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0" w:rightFromText="170" w:vertAnchor="page" w:horzAnchor="margin" w:tblpXSpec="center" w:tblpY="710"/>
        <w:tblW w:w="5615" w:type="pct"/>
        <w:tblLayout w:type="fixed"/>
        <w:tblCellMar>
          <w:left w:w="142" w:type="dxa"/>
          <w:right w:w="0" w:type="dxa"/>
        </w:tblCellMar>
        <w:tblLook w:val="0080" w:firstRow="0" w:lastRow="0" w:firstColumn="1" w:lastColumn="0" w:noHBand="0" w:noVBand="0"/>
      </w:tblPr>
      <w:tblGrid>
        <w:gridCol w:w="4972"/>
        <w:gridCol w:w="5692"/>
      </w:tblGrid>
      <w:tr w:rsidR="007B6F7C" w:rsidRPr="003D4FF0" w:rsidTr="003D4FF0">
        <w:trPr>
          <w:trHeight w:val="1695"/>
        </w:trPr>
        <w:tc>
          <w:tcPr>
            <w:tcW w:w="2331" w:type="pct"/>
          </w:tcPr>
          <w:p w:rsidR="007B6F7C" w:rsidRPr="003D4FF0" w:rsidRDefault="007656D5" w:rsidP="003D4FF0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33650" cy="61912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7B6F7C" w:rsidRPr="003D4FF0" w:rsidRDefault="007B6F7C" w:rsidP="003D4FF0">
            <w:pPr>
              <w:spacing w:after="0" w:line="240" w:lineRule="auto"/>
            </w:pPr>
          </w:p>
        </w:tc>
      </w:tr>
    </w:tbl>
    <w:p w:rsidR="0045678C" w:rsidRPr="0045678C" w:rsidRDefault="0045678C" w:rsidP="0045678C">
      <w:pPr>
        <w:spacing w:after="0"/>
        <w:rPr>
          <w:vanish/>
        </w:rPr>
      </w:pPr>
    </w:p>
    <w:tbl>
      <w:tblPr>
        <w:tblW w:w="12796" w:type="dxa"/>
        <w:tblInd w:w="-127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96"/>
      </w:tblGrid>
      <w:tr w:rsidR="007B6F7C" w:rsidRPr="003D4FF0" w:rsidTr="003D4FF0">
        <w:trPr>
          <w:trHeight w:val="1304"/>
        </w:trPr>
        <w:tc>
          <w:tcPr>
            <w:tcW w:w="12796" w:type="dxa"/>
            <w:vAlign w:val="bottom"/>
          </w:tcPr>
          <w:p w:rsidR="007B6F7C" w:rsidRPr="003D4FF0" w:rsidRDefault="007656D5" w:rsidP="003D4FF0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562850" cy="92392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F7C" w:rsidRPr="00F73AA5" w:rsidRDefault="007B6F7C" w:rsidP="00343ECE">
      <w:pPr>
        <w:pStyle w:val="newsTitle"/>
        <w:rPr>
          <w:b/>
        </w:rPr>
      </w:pPr>
      <w:r>
        <w:t xml:space="preserve">Europsko izvješće o drogama 2014. — pogledi na droge </w:t>
      </w:r>
    </w:p>
    <w:p w:rsidR="007B6F7C" w:rsidRPr="00454A08" w:rsidRDefault="007B6F7C" w:rsidP="00454A08">
      <w:pPr>
        <w:pStyle w:val="newsSubTitle"/>
      </w:pPr>
      <w:r w:rsidRPr="00454A08">
        <w:t>Agencija EU-a za droge u</w:t>
      </w:r>
      <w:r w:rsidR="000F55ED" w:rsidRPr="00454A08">
        <w:t xml:space="preserve"> fokus</w:t>
      </w:r>
      <w:r w:rsidRPr="00454A08">
        <w:t xml:space="preserve"> stavlja šest tema popraćenih novim internetskim analizama </w:t>
      </w:r>
    </w:p>
    <w:p w:rsidR="007B6F7C" w:rsidRPr="00A519DC" w:rsidRDefault="007B6F7C" w:rsidP="00A519DC">
      <w:pPr>
        <w:pStyle w:val="newsContent"/>
      </w:pPr>
      <w:r>
        <w:t xml:space="preserve">(27. 5. 2014., LISABON </w:t>
      </w:r>
      <w:r w:rsidRPr="00454A08">
        <w:rPr>
          <w:b/>
          <w:color w:val="FF0000"/>
        </w:rPr>
        <w:t>EMBARGO 10:00 ZET/lisabonsko vrijeme</w:t>
      </w:r>
      <w:r>
        <w:t xml:space="preserve">) </w:t>
      </w:r>
      <w:r>
        <w:rPr>
          <w:b/>
        </w:rPr>
        <w:t>Agencija EU-a za droge (EMCDDA)</w:t>
      </w:r>
      <w:r>
        <w:t xml:space="preserve"> danas objavljuje, uz </w:t>
      </w:r>
      <w:r>
        <w:rPr>
          <w:b/>
          <w:i/>
        </w:rPr>
        <w:t xml:space="preserve">Europsko izvješće o drogama 2014.: Trendovi i </w:t>
      </w:r>
      <w:r w:rsidR="008D3760">
        <w:rPr>
          <w:b/>
          <w:i/>
        </w:rPr>
        <w:t>razvoj</w:t>
      </w:r>
      <w:r>
        <w:t xml:space="preserve">, šest novih dodataka svojoj seriji </w:t>
      </w:r>
      <w:r>
        <w:rPr>
          <w:b/>
        </w:rPr>
        <w:t xml:space="preserve">Pogledi na </w:t>
      </w:r>
      <w:r w:rsidRPr="00BD2716">
        <w:rPr>
          <w:b/>
        </w:rPr>
        <w:t>droge</w:t>
      </w:r>
      <w:r w:rsidRPr="00BD2716">
        <w:t xml:space="preserve"> (</w:t>
      </w:r>
      <w:r w:rsidR="00454A08" w:rsidRPr="00BD2716">
        <w:rPr>
          <w:i/>
        </w:rPr>
        <w:t>Perspectives on drugs/</w:t>
      </w:r>
      <w:r w:rsidRPr="00BD2716">
        <w:rPr>
          <w:i/>
        </w:rPr>
        <w:t>POD</w:t>
      </w:r>
      <w:r w:rsidRPr="00BD2716">
        <w:t>-ovi). Taj</w:t>
      </w:r>
      <w:r>
        <w:t xml:space="preserve"> najnoviji odabir internetskih i interaktivnih analiza pruža najsuvremeniji pregled ključnih aspekata situacije u Europi </w:t>
      </w:r>
      <w:r w:rsidR="00F3130C">
        <w:t>u vezi s</w:t>
      </w:r>
      <w:r>
        <w:t xml:space="preserve"> drog</w:t>
      </w:r>
      <w:r w:rsidR="00F3130C">
        <w:t>ama</w:t>
      </w:r>
      <w:r>
        <w:t xml:space="preserve">. POD-ovi istražuju: </w:t>
      </w:r>
      <w:r w:rsidR="00F3130C">
        <w:t>nove</w:t>
      </w:r>
      <w:r>
        <w:t xml:space="preserve"> </w:t>
      </w:r>
      <w:r w:rsidR="00F3130C">
        <w:t>zabrin</w:t>
      </w:r>
      <w:bookmarkStart w:id="0" w:name="_GoBack"/>
      <w:bookmarkEnd w:id="0"/>
      <w:r w:rsidR="00F3130C">
        <w:t>javajuće pojave</w:t>
      </w:r>
      <w:r>
        <w:t xml:space="preserve"> povezan</w:t>
      </w:r>
      <w:r w:rsidR="00F3130C">
        <w:t>e</w:t>
      </w:r>
      <w:r>
        <w:t xml:space="preserve"> s uporabom stimulansa, nova kretanja na europskom tržištu kanabisa, kao i napre</w:t>
      </w:r>
      <w:r w:rsidR="008D3760">
        <w:t>dak</w:t>
      </w:r>
      <w:r>
        <w:t xml:space="preserve"> u liječenju ovisnosti putem interneta te analizu otpadnih voda.</w:t>
      </w:r>
    </w:p>
    <w:p w:rsidR="007B6F7C" w:rsidRPr="00686810" w:rsidRDefault="007B6F7C" w:rsidP="00A519DC">
      <w:pPr>
        <w:pStyle w:val="newsContent"/>
      </w:pPr>
    </w:p>
    <w:p w:rsidR="007B6F7C" w:rsidRPr="00A519DC" w:rsidRDefault="007B6F7C" w:rsidP="00A519DC">
      <w:pPr>
        <w:pStyle w:val="newsContent"/>
      </w:pPr>
      <w:r>
        <w:rPr>
          <w:b/>
        </w:rPr>
        <w:t>Sintetski katinoni: zabrinjavajući lokalizirani i nacionalni porast ubrizgavanj</w:t>
      </w:r>
      <w:r w:rsidR="00F3130C">
        <w:rPr>
          <w:b/>
        </w:rPr>
        <w:t>a</w:t>
      </w:r>
    </w:p>
    <w:p w:rsidR="007B6F7C" w:rsidRDefault="007B6F7C" w:rsidP="00A519DC">
      <w:pPr>
        <w:pStyle w:val="newsContent"/>
      </w:pPr>
      <w:r>
        <w:t xml:space="preserve"> </w:t>
      </w:r>
    </w:p>
    <w:p w:rsidR="007B6F7C" w:rsidRDefault="007B6F7C" w:rsidP="006E67B1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Putem </w:t>
      </w:r>
      <w:r>
        <w:rPr>
          <w:rFonts w:ascii="Arial" w:hAnsi="Arial"/>
          <w:b/>
          <w:sz w:val="20"/>
        </w:rPr>
        <w:t>EU-ova sustava ranog upozoravanja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(EU–EWS)</w:t>
      </w:r>
      <w:r>
        <w:rPr>
          <w:rFonts w:ascii="Arial" w:hAnsi="Arial"/>
          <w:sz w:val="20"/>
        </w:rPr>
        <w:t xml:space="preserve"> između 2005. i 2013. otkriveno je više od 50 derivata sintetskih katinona (stimulansa). Među onima koji se prate u sustavu EU–EWS su: mefedron (podvrgnut nadzornim mjerama u EU-u 2010.), MDPV (rizik procijenjen u travnju 2014.) te pentedron. Sintetske katinone moguće je ušmrkavati u obliku praha ili progutati u obliku tableta, no </w:t>
      </w:r>
      <w:r>
        <w:rPr>
          <w:rFonts w:ascii="Arial" w:hAnsi="Arial"/>
          <w:b/>
          <w:sz w:val="20"/>
        </w:rPr>
        <w:t>EMCDDA</w:t>
      </w:r>
      <w:r>
        <w:rPr>
          <w:rFonts w:ascii="Arial" w:hAnsi="Arial"/>
          <w:sz w:val="20"/>
        </w:rPr>
        <w:t xml:space="preserve"> danas istražuje zabrinjavajući porast </w:t>
      </w:r>
      <w:r w:rsidR="00F3130C">
        <w:rPr>
          <w:rFonts w:ascii="Arial" w:hAnsi="Arial"/>
          <w:sz w:val="20"/>
        </w:rPr>
        <w:t>ubrizgavanja</w:t>
      </w:r>
      <w:r>
        <w:rPr>
          <w:rFonts w:ascii="Arial" w:hAnsi="Arial"/>
          <w:sz w:val="20"/>
        </w:rPr>
        <w:t xml:space="preserve"> navedenih supstanci. </w:t>
      </w:r>
    </w:p>
    <w:p w:rsidR="007B6F7C" w:rsidRDefault="007B6F7C" w:rsidP="006E67B1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Iako ubrizgavanje katinona u Europi nije jako rašireno, u nekim državama uočeno je kao lokalizirani problem kod skupina visokorizičnih korisnika droga (npr. </w:t>
      </w:r>
      <w:r>
        <w:rPr>
          <w:rFonts w:ascii="Arial" w:hAnsi="Arial"/>
          <w:b/>
          <w:sz w:val="20"/>
        </w:rPr>
        <w:t xml:space="preserve">Češka Republika, Njemačka, Irska, Španjolska, Austrija, Poljska, Finska, Švedska </w:t>
      </w:r>
      <w:r>
        <w:rPr>
          <w:rFonts w:ascii="Arial" w:hAnsi="Arial"/>
          <w:sz w:val="20"/>
        </w:rPr>
        <w:t xml:space="preserve">te </w:t>
      </w:r>
      <w:r>
        <w:rPr>
          <w:rFonts w:ascii="Arial" w:hAnsi="Arial"/>
          <w:b/>
          <w:sz w:val="20"/>
        </w:rPr>
        <w:t>Ujedinjena Kraljevina</w:t>
      </w:r>
      <w:r>
        <w:rPr>
          <w:rFonts w:ascii="Arial" w:hAnsi="Arial"/>
          <w:sz w:val="20"/>
        </w:rPr>
        <w:t xml:space="preserve">). Međutim, u </w:t>
      </w:r>
      <w:r>
        <w:rPr>
          <w:rFonts w:ascii="Arial" w:hAnsi="Arial"/>
          <w:b/>
          <w:sz w:val="20"/>
        </w:rPr>
        <w:t xml:space="preserve">Mađarskoj </w:t>
      </w:r>
      <w:r>
        <w:rPr>
          <w:rFonts w:ascii="Arial" w:hAnsi="Arial"/>
          <w:sz w:val="20"/>
        </w:rPr>
        <w:t>i</w:t>
      </w:r>
      <w:r>
        <w:rPr>
          <w:rFonts w:ascii="Arial" w:hAnsi="Arial"/>
          <w:b/>
          <w:sz w:val="20"/>
        </w:rPr>
        <w:t xml:space="preserve"> Rumunjskoj</w:t>
      </w:r>
      <w:r>
        <w:rPr>
          <w:rFonts w:ascii="Arial" w:hAnsi="Arial"/>
          <w:sz w:val="20"/>
        </w:rPr>
        <w:t xml:space="preserve"> uočena je </w:t>
      </w:r>
      <w:r w:rsidR="00F3130C">
        <w:rPr>
          <w:rFonts w:ascii="Arial" w:hAnsi="Arial"/>
          <w:sz w:val="20"/>
        </w:rPr>
        <w:t>raširenij</w:t>
      </w:r>
      <w:r>
        <w:rPr>
          <w:rFonts w:ascii="Arial" w:hAnsi="Arial"/>
          <w:sz w:val="20"/>
        </w:rPr>
        <w:t>a praksa ubrizgavanja tih supstanci. Nacionalnom anketom o programima z</w:t>
      </w:r>
      <w:r w:rsidR="00D34DD9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mjene igala i šprica u </w:t>
      </w:r>
      <w:r>
        <w:rPr>
          <w:rFonts w:ascii="Arial" w:hAnsi="Arial"/>
          <w:b/>
          <w:sz w:val="20"/>
        </w:rPr>
        <w:t>Mađarskoj</w:t>
      </w:r>
      <w:r>
        <w:rPr>
          <w:rFonts w:ascii="Arial" w:hAnsi="Arial"/>
          <w:sz w:val="20"/>
        </w:rPr>
        <w:t xml:space="preserve"> otkriveno je primjerice da je 2012. godin</w:t>
      </w:r>
      <w:r w:rsidR="00D34DD9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36 % klijenata ubrizgavalo katinone kao primarnu drogu. </w:t>
      </w:r>
    </w:p>
    <w:p w:rsidR="007B6F7C" w:rsidRPr="008D4910" w:rsidRDefault="007B6F7C" w:rsidP="006E67B1">
      <w:pPr>
        <w:spacing w:after="260" w:line="260" w:lineRule="exact"/>
        <w:rPr>
          <w:sz w:val="20"/>
          <w:szCs w:val="20"/>
        </w:rPr>
      </w:pPr>
      <w:r>
        <w:rPr>
          <w:rFonts w:ascii="Arial" w:hAnsi="Arial"/>
          <w:sz w:val="20"/>
        </w:rPr>
        <w:t xml:space="preserve">Sve više zabrinjava pojava uočena u podskupinama muškaraca koji imaju spolne odnose s drugim muškarcima (MSM): ubrizgavanje mnoštva nedopuštenih droga (npr. katinona i metamfetamina) na takozvanim „chem sex” zabavama. Ova nova praksa, povezana s rizičnim seksualnim navikama, dosad je uočena u nekim velikim gradovima. S obzirom na mogući utjecaj </w:t>
      </w:r>
      <w:r w:rsidR="00F3130C">
        <w:rPr>
          <w:rFonts w:ascii="Arial" w:hAnsi="Arial"/>
          <w:sz w:val="20"/>
        </w:rPr>
        <w:t>uočenih novih obrazaca ubrizgavanja katinona</w:t>
      </w:r>
      <w:r w:rsidR="00D34DD9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D34DD9">
        <w:rPr>
          <w:rFonts w:ascii="Arial" w:hAnsi="Arial"/>
          <w:sz w:val="20"/>
        </w:rPr>
        <w:t xml:space="preserve">strogi nadzor tog problema </w:t>
      </w:r>
      <w:r>
        <w:rPr>
          <w:rFonts w:ascii="Arial" w:hAnsi="Arial"/>
          <w:sz w:val="20"/>
        </w:rPr>
        <w:t xml:space="preserve">prioritet </w:t>
      </w:r>
      <w:r w:rsidR="00D34DD9">
        <w:rPr>
          <w:rFonts w:ascii="Arial" w:hAnsi="Arial"/>
          <w:sz w:val="20"/>
        </w:rPr>
        <w:t xml:space="preserve">je </w:t>
      </w:r>
      <w:r>
        <w:rPr>
          <w:rFonts w:ascii="Arial" w:hAnsi="Arial"/>
          <w:sz w:val="20"/>
        </w:rPr>
        <w:t>z</w:t>
      </w:r>
      <w:r w:rsidR="00D34DD9">
        <w:rPr>
          <w:rFonts w:ascii="Arial" w:hAnsi="Arial"/>
          <w:sz w:val="20"/>
        </w:rPr>
        <w:t>a javno zdravstvo</w:t>
      </w:r>
      <w:r>
        <w:rPr>
          <w:rFonts w:ascii="Arial" w:hAnsi="Arial"/>
          <w:sz w:val="20"/>
        </w:rPr>
        <w:t xml:space="preserve">. </w:t>
      </w:r>
    </w:p>
    <w:p w:rsidR="007B6F7C" w:rsidRDefault="007B6F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Metamfetamin: porast zabrinutosti zbog pojave novih i raznolikih obrazaca uporabe</w:t>
      </w:r>
    </w:p>
    <w:p w:rsidR="007B6F7C" w:rsidRDefault="007B6F7C" w:rsidP="00816BF3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Metamfetamin je stimulativna droga koja je u brojnim dijelovima svijeta već u </w:t>
      </w:r>
      <w:r w:rsidR="007656D5">
        <w:rPr>
          <w:rFonts w:ascii="Arial" w:hAnsi="Arial"/>
          <w:sz w:val="20"/>
        </w:rPr>
        <w:t xml:space="preserve">opticaju </w:t>
      </w:r>
      <w:r>
        <w:rPr>
          <w:rFonts w:ascii="Arial" w:hAnsi="Arial"/>
          <w:sz w:val="20"/>
        </w:rPr>
        <w:t xml:space="preserve"> (npr. Jugoistočna Azija, SAD), gdje je već dugo uzrok velikih problema u javnom zdravstvu. Dok je u prošlosti uporaba metamfetamina u Europi bila ograničena na </w:t>
      </w:r>
      <w:r>
        <w:rPr>
          <w:rFonts w:ascii="Arial" w:hAnsi="Arial"/>
          <w:b/>
          <w:sz w:val="20"/>
        </w:rPr>
        <w:t>Češku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Republiku</w:t>
      </w:r>
      <w:r>
        <w:rPr>
          <w:rFonts w:ascii="Arial" w:hAnsi="Arial"/>
          <w:sz w:val="20"/>
        </w:rPr>
        <w:t xml:space="preserve"> i </w:t>
      </w:r>
      <w:r>
        <w:rPr>
          <w:rFonts w:ascii="Arial" w:hAnsi="Arial"/>
          <w:b/>
          <w:sz w:val="20"/>
        </w:rPr>
        <w:t>Slovačku</w:t>
      </w:r>
      <w:r>
        <w:rPr>
          <w:rFonts w:ascii="Arial" w:hAnsi="Arial"/>
          <w:sz w:val="20"/>
        </w:rPr>
        <w:t>, nova područja i obrasci uporabe</w:t>
      </w:r>
      <w:r w:rsidR="00F3130C">
        <w:rPr>
          <w:rFonts w:ascii="Arial" w:hAnsi="Arial"/>
          <w:sz w:val="20"/>
        </w:rPr>
        <w:t xml:space="preserve"> sada se pojavljuju i drugdje te u raznolikim populacijama</w:t>
      </w:r>
      <w:r>
        <w:rPr>
          <w:rFonts w:ascii="Arial" w:hAnsi="Arial"/>
          <w:sz w:val="20"/>
        </w:rPr>
        <w:t xml:space="preserve">. Primjeri obuhvaćaju </w:t>
      </w:r>
      <w:r>
        <w:rPr>
          <w:rFonts w:ascii="Arial" w:hAnsi="Arial"/>
          <w:i/>
          <w:sz w:val="20"/>
        </w:rPr>
        <w:t>ušmrkavanje</w:t>
      </w:r>
      <w:r>
        <w:rPr>
          <w:rFonts w:ascii="Arial" w:hAnsi="Arial"/>
          <w:sz w:val="20"/>
        </w:rPr>
        <w:t xml:space="preserve"> metamfetamina (prah) kod povremenih korisnika u </w:t>
      </w:r>
      <w:r>
        <w:rPr>
          <w:rFonts w:ascii="Arial" w:hAnsi="Arial"/>
          <w:b/>
          <w:sz w:val="20"/>
        </w:rPr>
        <w:t>Njemačkoj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i/>
          <w:sz w:val="20"/>
        </w:rPr>
        <w:t xml:space="preserve">pušenje </w:t>
      </w:r>
      <w:r>
        <w:rPr>
          <w:rFonts w:ascii="Arial" w:hAnsi="Arial"/>
          <w:sz w:val="20"/>
        </w:rPr>
        <w:t xml:space="preserve">„kristalnog metamfetamina” kod intravenskih korisnika opioida u </w:t>
      </w:r>
      <w:r>
        <w:rPr>
          <w:rFonts w:ascii="Arial" w:hAnsi="Arial"/>
          <w:b/>
          <w:sz w:val="20"/>
        </w:rPr>
        <w:t>Grčkoj, Cipru</w:t>
      </w:r>
      <w:r>
        <w:rPr>
          <w:rFonts w:ascii="Arial" w:hAnsi="Arial"/>
          <w:sz w:val="20"/>
        </w:rPr>
        <w:t xml:space="preserve"> i </w:t>
      </w:r>
      <w:r>
        <w:rPr>
          <w:rFonts w:ascii="Arial" w:hAnsi="Arial"/>
          <w:b/>
          <w:sz w:val="20"/>
        </w:rPr>
        <w:t>Turskoj</w:t>
      </w:r>
      <w:r>
        <w:rPr>
          <w:rFonts w:ascii="Arial" w:hAnsi="Arial"/>
          <w:sz w:val="20"/>
        </w:rPr>
        <w:t xml:space="preserve"> te </w:t>
      </w:r>
      <w:r>
        <w:rPr>
          <w:rFonts w:ascii="Arial" w:hAnsi="Arial"/>
          <w:i/>
          <w:sz w:val="20"/>
        </w:rPr>
        <w:t xml:space="preserve">ubrizgavanje </w:t>
      </w:r>
      <w:r>
        <w:rPr>
          <w:rFonts w:ascii="Arial" w:hAnsi="Arial"/>
          <w:sz w:val="20"/>
        </w:rPr>
        <w:t xml:space="preserve">ove droge zajedno s drugim supstancama kod MSM-ova (vidi gore). </w:t>
      </w:r>
    </w:p>
    <w:p w:rsidR="007B6F7C" w:rsidRDefault="007B6F7C" w:rsidP="00D00C7E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U ovoj novoj analizi </w:t>
      </w:r>
      <w:r>
        <w:rPr>
          <w:rFonts w:ascii="Arial" w:hAnsi="Arial"/>
          <w:b/>
          <w:sz w:val="20"/>
        </w:rPr>
        <w:t xml:space="preserve">EMCDDA </w:t>
      </w:r>
      <w:r>
        <w:rPr>
          <w:rFonts w:ascii="Arial" w:hAnsi="Arial"/>
          <w:sz w:val="20"/>
        </w:rPr>
        <w:t>razmatra izazove u pružanju zdravstvenih i društvenih odgovora povezanih s ovom drogom već danas. Iako ne postoje odobreni lijekovi za liječenje ovisnosti o metamfetaminu, psihosocijalne intervencije pokazale su se učinkovitima. Agencija navodi: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„</w:t>
      </w:r>
      <w:r w:rsidR="00D34DD9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roblem koji Europa </w:t>
      </w:r>
      <w:r w:rsidR="00D34DD9">
        <w:rPr>
          <w:rFonts w:ascii="Arial" w:hAnsi="Arial"/>
          <w:sz w:val="20"/>
        </w:rPr>
        <w:t xml:space="preserve">trenutno </w:t>
      </w:r>
      <w:r>
        <w:rPr>
          <w:rFonts w:ascii="Arial" w:hAnsi="Arial"/>
          <w:sz w:val="20"/>
        </w:rPr>
        <w:t xml:space="preserve">ima s metamfetaminom nije </w:t>
      </w:r>
      <w:r w:rsidR="00F3130C">
        <w:rPr>
          <w:rFonts w:ascii="Arial" w:hAnsi="Arial"/>
          <w:sz w:val="20"/>
        </w:rPr>
        <w:t>jednoobrazan</w:t>
      </w:r>
      <w:r>
        <w:rPr>
          <w:rFonts w:ascii="Arial" w:hAnsi="Arial"/>
          <w:sz w:val="20"/>
        </w:rPr>
        <w:t xml:space="preserve"> te je potrebno prilagoditi, razviti i oblikovati odgovarajuća rješenja u skladu s lokalnim obrascima uporabe i uočenim problemima.” </w:t>
      </w:r>
    </w:p>
    <w:p w:rsidR="007B6F7C" w:rsidRPr="00FD228B" w:rsidRDefault="00D34DD9" w:rsidP="00DF7C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Prikaz</w:t>
      </w:r>
      <w:r w:rsidR="007B6F7C">
        <w:rPr>
          <w:rFonts w:ascii="Arial" w:hAnsi="Arial"/>
          <w:b/>
          <w:sz w:val="20"/>
        </w:rPr>
        <w:t xml:space="preserve"> napretka u korištenju lijekova za liječenje ovisnosti o kokainu</w:t>
      </w:r>
    </w:p>
    <w:p w:rsidR="007B6F7C" w:rsidRPr="005153AE" w:rsidRDefault="007B6F7C" w:rsidP="005153AE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Kokain je još uvijek najčešće korišten nedopušteni stimulans u Europi te i dalje postoje izazovi u liječenju ovisnosti o njemu. Godine 2012. 14 % korisnika koji su ušli u specijalizirani program liječenja ovisnosti o drogama u Europi navelo je kokain kao svoju primarnu supstancu. Danas </w:t>
      </w:r>
      <w:r>
        <w:rPr>
          <w:rFonts w:ascii="Arial" w:hAnsi="Arial"/>
          <w:b/>
          <w:sz w:val="20"/>
        </w:rPr>
        <w:t>EMCDDA</w:t>
      </w:r>
      <w:r>
        <w:rPr>
          <w:rFonts w:ascii="Arial" w:hAnsi="Arial"/>
          <w:sz w:val="20"/>
        </w:rPr>
        <w:t xml:space="preserve"> predstavlja meta</w:t>
      </w:r>
      <w:r w:rsidR="00D34DD9"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>analizu šest izvješća koja daju uvid u učinkovitost lijekova korištenih pri liječenju problema s kokainom, kao i njihovu prihvaćenost kod korisnika.</w:t>
      </w:r>
      <w:r w:rsidR="00D34DD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Originalna izvješća Grupe Cochrane za droge i alkohol obuhvaćala su 92 studije (85 u SAD-u) te više od 7 000 sudionika. U njima je prikazano kako određeni lijekovi mogu smanjiti korisnikovu potrebu za drogom, no za ovisnost o kokainu ipak ne postoji jedinstveno farmakološko rješenje. Dok istraživanja u ovome području napreduju, psihosocijalne intervencije i dalje su ključna sastavnica u liječenju ovisnika o kokainu (vidi videozapis). </w:t>
      </w:r>
    </w:p>
    <w:p w:rsidR="007B6F7C" w:rsidRPr="00A136AA" w:rsidRDefault="007B6F7C" w:rsidP="000D0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Domaća proizvodnja biljnog kanabisa kao glavni izvor opskrbe: uvezena smola postaje jača </w:t>
      </w:r>
    </w:p>
    <w:p w:rsidR="007B6F7C" w:rsidRPr="001801D4" w:rsidRDefault="007B6F7C" w:rsidP="000D0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7B6F7C" w:rsidRDefault="007B6F7C" w:rsidP="00303D0F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Europa je već dugo jedno od najvećih svjetskih potrošačkih tržišta za kanabis, naročito smolu koja se uglavnom uvozi iz </w:t>
      </w:r>
      <w:r>
        <w:rPr>
          <w:rFonts w:ascii="Arial" w:hAnsi="Arial"/>
          <w:b/>
          <w:sz w:val="20"/>
        </w:rPr>
        <w:t>Maroka</w:t>
      </w:r>
      <w:r>
        <w:rPr>
          <w:rFonts w:ascii="Arial" w:hAnsi="Arial"/>
          <w:sz w:val="20"/>
        </w:rPr>
        <w:t xml:space="preserve">. Procjenjuje se da se u Europi svake godine konzumira oko 2 050 tona smole kanabisa („hašiš”) te biljnog kanabisa („marihuana”). </w:t>
      </w:r>
      <w:r w:rsidR="00D34DD9">
        <w:rPr>
          <w:rFonts w:ascii="Arial" w:hAnsi="Arial"/>
          <w:sz w:val="20"/>
        </w:rPr>
        <w:t>U svom d</w:t>
      </w:r>
      <w:r>
        <w:rPr>
          <w:rFonts w:ascii="Arial" w:hAnsi="Arial"/>
          <w:sz w:val="20"/>
        </w:rPr>
        <w:t>ana</w:t>
      </w:r>
      <w:r w:rsidR="00D34DD9">
        <w:rPr>
          <w:rFonts w:ascii="Arial" w:hAnsi="Arial"/>
          <w:sz w:val="20"/>
        </w:rPr>
        <w:t>šnjem izvješću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EMCDDA </w:t>
      </w:r>
      <w:r w:rsidR="00D34DD9" w:rsidRPr="00D34DD9">
        <w:rPr>
          <w:rFonts w:ascii="Arial" w:hAnsi="Arial"/>
          <w:sz w:val="20"/>
        </w:rPr>
        <w:t>navodi</w:t>
      </w:r>
      <w:r>
        <w:rPr>
          <w:rFonts w:ascii="Arial" w:hAnsi="Arial"/>
          <w:sz w:val="20"/>
        </w:rPr>
        <w:t xml:space="preserve"> da europskim potrošačkim tržištem kanabisa sada dominiraju biljni proizvodi, pri čemu </w:t>
      </w:r>
      <w:r w:rsidR="00F3130C">
        <w:rPr>
          <w:rFonts w:ascii="Arial" w:hAnsi="Arial"/>
          <w:sz w:val="20"/>
        </w:rPr>
        <w:t>se domaćom biljnom</w:t>
      </w:r>
      <w:r>
        <w:rPr>
          <w:rFonts w:ascii="Arial" w:hAnsi="Arial"/>
          <w:sz w:val="20"/>
        </w:rPr>
        <w:t xml:space="preserve"> proizvodnj</w:t>
      </w:r>
      <w:r w:rsidR="00F3130C">
        <w:rPr>
          <w:rFonts w:ascii="Arial" w:hAnsi="Arial"/>
          <w:sz w:val="20"/>
        </w:rPr>
        <w:t>om</w:t>
      </w:r>
      <w:r>
        <w:rPr>
          <w:rFonts w:ascii="Arial" w:hAnsi="Arial"/>
          <w:sz w:val="20"/>
        </w:rPr>
        <w:t xml:space="preserve"> opskrbljuje domać</w:t>
      </w:r>
      <w:r w:rsidR="00F3130C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</w:t>
      </w:r>
      <w:r w:rsidR="00F3130C">
        <w:rPr>
          <w:rFonts w:ascii="Arial" w:hAnsi="Arial"/>
          <w:sz w:val="20"/>
        </w:rPr>
        <w:t>potrošnja</w:t>
      </w:r>
      <w:r>
        <w:rPr>
          <w:rFonts w:ascii="Arial" w:hAnsi="Arial"/>
          <w:sz w:val="20"/>
        </w:rPr>
        <w:t>. Plantaže kanabisa sve se češće pronalaze diljem Europe.</w:t>
      </w:r>
    </w:p>
    <w:p w:rsidR="007B6F7C" w:rsidRPr="00CE1BE7" w:rsidRDefault="007B6F7C" w:rsidP="00303D0F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/>
          <w:sz w:val="20"/>
          <w:szCs w:val="20"/>
        </w:rPr>
      </w:pPr>
      <w:r>
        <w:rPr>
          <w:rFonts w:ascii="Arial" w:hAnsi="Arial"/>
          <w:sz w:val="20"/>
        </w:rPr>
        <w:t xml:space="preserve">Tijekom proteklog desetljeća broj zapljena biljnog kanabisa prerastao je broj koji se odnosi na smolu. Godine 2012. prijavljeno je otprilike 457 000 zapljena biljnog kanabisa u usporedbi s 258 000 zapljena smole. Godine 2012. zaplijenjeno je oko sedam milijuna biljki kanabisa, što je 2,5 puta veća količina u odnosu na onu prijavljenu prije pet godina. Inovacije u proizvodnji kanabisa posljednjih godina razlog su za zabrinutost (vidi videozapis) jer uzgajivači uzgajaju biljke s velikom količinom THC-a (aktivni sastojak kanabisa), ali malom količinom CBD-a (antipsihotik). Dok je jačina obaju oblika kanabisa porasla od 2006., relativno </w:t>
      </w:r>
      <w:r w:rsidR="00D34DD9">
        <w:rPr>
          <w:rFonts w:ascii="Arial" w:hAnsi="Arial"/>
          <w:sz w:val="20"/>
        </w:rPr>
        <w:t>nagli porast</w:t>
      </w:r>
      <w:r>
        <w:rPr>
          <w:rFonts w:ascii="Arial" w:hAnsi="Arial"/>
          <w:sz w:val="20"/>
        </w:rPr>
        <w:t xml:space="preserve"> u jačini smole dogodi</w:t>
      </w:r>
      <w:r w:rsidR="00D34DD9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se između 2011. i 2012. (vidi infografiku o kanabisu, EDR, Poglavlje 1).</w:t>
      </w:r>
      <w:r>
        <w:rPr>
          <w:rFonts w:ascii="Arial" w:hAnsi="Arial"/>
          <w:sz w:val="20"/>
          <w:u w:val="single"/>
        </w:rPr>
        <w:t xml:space="preserve"> </w:t>
      </w:r>
    </w:p>
    <w:p w:rsidR="007B6F7C" w:rsidRPr="00AF2696" w:rsidRDefault="007B6F7C" w:rsidP="00303D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Liječenje ovisnosti putem interneta: omogućavanje novih načina rada s korisnicima droga</w:t>
      </w:r>
      <w:r>
        <w:rPr>
          <w:rFonts w:ascii="Arial" w:hAnsi="Arial"/>
          <w:sz w:val="20"/>
        </w:rPr>
        <w:t xml:space="preserve"> </w:t>
      </w:r>
    </w:p>
    <w:p w:rsidR="007B6F7C" w:rsidRPr="00AF2696" w:rsidRDefault="007B6F7C" w:rsidP="00303D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6F7C" w:rsidRPr="00AF2696" w:rsidRDefault="007B6F7C" w:rsidP="00454A0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Internet je sada prepoznat kao prihvatljivo sredstvo za </w:t>
      </w:r>
      <w:r w:rsidR="00D34DD9">
        <w:rPr>
          <w:rFonts w:ascii="Arial" w:hAnsi="Arial"/>
          <w:sz w:val="20"/>
        </w:rPr>
        <w:t xml:space="preserve">pružanje </w:t>
      </w:r>
      <w:r w:rsidR="00394BE5">
        <w:rPr>
          <w:rFonts w:ascii="Arial" w:hAnsi="Arial"/>
          <w:sz w:val="20"/>
        </w:rPr>
        <w:t>edukacije</w:t>
      </w:r>
      <w:r>
        <w:rPr>
          <w:rFonts w:ascii="Arial" w:hAnsi="Arial"/>
          <w:sz w:val="20"/>
        </w:rPr>
        <w:t xml:space="preserve"> o drogama i alkoholu, programa prevencije i liječenja ovisnosti u raznim sredinama. Danas </w:t>
      </w:r>
      <w:r w:rsidRPr="00BD2716">
        <w:rPr>
          <w:rFonts w:ascii="Arial" w:hAnsi="Arial"/>
          <w:b/>
          <w:sz w:val="20"/>
        </w:rPr>
        <w:t>EMCDDA</w:t>
      </w:r>
      <w:r w:rsidRPr="00BD2716">
        <w:rPr>
          <w:rFonts w:ascii="Arial" w:hAnsi="Arial"/>
          <w:sz w:val="20"/>
        </w:rPr>
        <w:t xml:space="preserve"> prati razvoj u liječenju ovisnosti putem interneta (</w:t>
      </w:r>
      <w:r w:rsidR="00454A08" w:rsidRPr="00BD2716">
        <w:rPr>
          <w:rFonts w:ascii="Arial" w:hAnsi="Arial" w:cs="Arial"/>
          <w:i/>
          <w:sz w:val="20"/>
          <w:szCs w:val="20"/>
        </w:rPr>
        <w:t>Internet-based drug treatment</w:t>
      </w:r>
      <w:r w:rsidR="00454A08" w:rsidRPr="00BD2716">
        <w:rPr>
          <w:rFonts w:ascii="Arial" w:hAnsi="Arial" w:cs="Arial"/>
          <w:sz w:val="20"/>
          <w:szCs w:val="20"/>
        </w:rPr>
        <w:t xml:space="preserve"> — IBDT), </w:t>
      </w:r>
      <w:r w:rsidRPr="00BD2716">
        <w:rPr>
          <w:rFonts w:ascii="Arial" w:hAnsi="Arial"/>
          <w:sz w:val="20"/>
        </w:rPr>
        <w:t xml:space="preserve"> koje se proširilo u Europi tijekom</w:t>
      </w:r>
      <w:r>
        <w:rPr>
          <w:rFonts w:ascii="Arial" w:hAnsi="Arial"/>
          <w:sz w:val="20"/>
        </w:rPr>
        <w:t xml:space="preserve"> posljednjih 10 godina uglavnom kada je riječ o uporabi kanabisa. U IBDT-u se koristi skupina ispitanih psihosocijalnih tehnika te ih se uključuje u novi mehanizam </w:t>
      </w:r>
      <w:r w:rsidR="00394BE5">
        <w:rPr>
          <w:rFonts w:ascii="Arial" w:hAnsi="Arial"/>
          <w:sz w:val="20"/>
        </w:rPr>
        <w:t>isporuke</w:t>
      </w:r>
      <w:r>
        <w:rPr>
          <w:rFonts w:ascii="Arial" w:hAnsi="Arial"/>
          <w:sz w:val="20"/>
        </w:rPr>
        <w:t xml:space="preserve"> putem interneta. Iako su zaštita podataka i anonimnost važna pitanja koja valja </w:t>
      </w:r>
      <w:r w:rsidR="00D34DD9">
        <w:rPr>
          <w:rFonts w:ascii="Arial" w:hAnsi="Arial"/>
          <w:sz w:val="20"/>
        </w:rPr>
        <w:t>uzeti u obzir</w:t>
      </w:r>
      <w:r>
        <w:rPr>
          <w:rFonts w:ascii="Arial" w:hAnsi="Arial"/>
          <w:sz w:val="20"/>
        </w:rPr>
        <w:t xml:space="preserve">, prednosti ovakve vrste dostave usluge mogu obuhvaćati: veću geografsku pokrivenost, pristup korisnicima do kojih specijalistički servisi za droge ne mogu doprijeti, te izravnija pomoć (bez čekanja). Kako se budu razvijali, programi IBDT-a mogu postati koristan dodatak tradicionalnim oblicima liječenja ovisnosti zahvaljujući novim načinima rada s korisnicima droga kojima je potrebna pomoć (vidi videozapis). </w:t>
      </w:r>
    </w:p>
    <w:p w:rsidR="007B6F7C" w:rsidRPr="00AF2696" w:rsidRDefault="007B6F7C" w:rsidP="00B50AB8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Danas objavljena najveća </w:t>
      </w:r>
      <w:r w:rsidR="00D34DD9">
        <w:rPr>
          <w:rFonts w:ascii="Arial" w:hAnsi="Arial"/>
          <w:b/>
          <w:sz w:val="20"/>
        </w:rPr>
        <w:t xml:space="preserve">studija </w:t>
      </w:r>
      <w:r>
        <w:rPr>
          <w:rFonts w:ascii="Arial" w:hAnsi="Arial"/>
          <w:b/>
          <w:sz w:val="20"/>
        </w:rPr>
        <w:t xml:space="preserve">o analizi otpadnih voda </w:t>
      </w:r>
      <w:r w:rsidR="00394BE5">
        <w:rPr>
          <w:rFonts w:ascii="Arial" w:hAnsi="Arial"/>
          <w:b/>
          <w:sz w:val="20"/>
        </w:rPr>
        <w:t>s obzirom n</w:t>
      </w:r>
      <w:r>
        <w:rPr>
          <w:rFonts w:ascii="Arial" w:hAnsi="Arial"/>
          <w:b/>
          <w:sz w:val="20"/>
        </w:rPr>
        <w:t xml:space="preserve">a droge </w:t>
      </w:r>
      <w:r w:rsidR="00394BE5">
        <w:rPr>
          <w:rFonts w:ascii="Arial" w:hAnsi="Arial"/>
          <w:b/>
          <w:sz w:val="20"/>
        </w:rPr>
        <w:t>proveden</w:t>
      </w:r>
      <w:r w:rsidR="007656D5">
        <w:rPr>
          <w:rFonts w:ascii="Arial" w:hAnsi="Arial"/>
          <w:b/>
          <w:sz w:val="20"/>
        </w:rPr>
        <w:t>a</w:t>
      </w:r>
      <w:r w:rsidR="00D34DD9">
        <w:rPr>
          <w:rFonts w:ascii="Arial" w:hAnsi="Arial"/>
          <w:b/>
          <w:sz w:val="20"/>
        </w:rPr>
        <w:t xml:space="preserve"> u više gradova</w:t>
      </w:r>
    </w:p>
    <w:p w:rsidR="007B6F7C" w:rsidRDefault="007B6F7C" w:rsidP="001B74EB">
      <w:pPr>
        <w:pStyle w:val="CommentText"/>
        <w:spacing w:after="0" w:line="260" w:lineRule="exact"/>
        <w:rPr>
          <w:rFonts w:ascii="Arial" w:hAnsi="Arial" w:cs="Arial"/>
        </w:rPr>
      </w:pPr>
      <w:r>
        <w:rPr>
          <w:rFonts w:ascii="Arial" w:hAnsi="Arial"/>
        </w:rPr>
        <w:t xml:space="preserve">Danas su također objavljeni </w:t>
      </w:r>
      <w:r w:rsidR="00394BE5">
        <w:rPr>
          <w:rFonts w:ascii="Arial" w:hAnsi="Arial"/>
        </w:rPr>
        <w:t>rezultati</w:t>
      </w:r>
      <w:r>
        <w:rPr>
          <w:rFonts w:ascii="Arial" w:hAnsi="Arial"/>
        </w:rPr>
        <w:t xml:space="preserve"> do sada najvećeg europskog projekta u području </w:t>
      </w:r>
      <w:r w:rsidR="00D34DD9">
        <w:rPr>
          <w:rFonts w:ascii="Arial" w:hAnsi="Arial"/>
        </w:rPr>
        <w:t xml:space="preserve">nove </w:t>
      </w:r>
      <w:r>
        <w:rPr>
          <w:rFonts w:ascii="Arial" w:hAnsi="Arial"/>
        </w:rPr>
        <w:t xml:space="preserve">znanosti o analizi otpadnih voda. </w:t>
      </w:r>
      <w:r w:rsidR="00394BE5">
        <w:rPr>
          <w:rFonts w:ascii="Arial" w:hAnsi="Arial"/>
        </w:rPr>
        <w:t>U sklopu tog</w:t>
      </w:r>
      <w:r>
        <w:rPr>
          <w:rFonts w:ascii="Arial" w:hAnsi="Arial"/>
        </w:rPr>
        <w:t xml:space="preserve"> projekt</w:t>
      </w:r>
      <w:r w:rsidR="00394BE5">
        <w:rPr>
          <w:rFonts w:ascii="Arial" w:hAnsi="Arial"/>
        </w:rPr>
        <w:t>a</w:t>
      </w:r>
      <w:r>
        <w:rPr>
          <w:rFonts w:ascii="Arial" w:hAnsi="Arial"/>
        </w:rPr>
        <w:t xml:space="preserve"> analizirane su otpadne vode u više od 40 gradova (</w:t>
      </w:r>
      <w:r w:rsidR="00394BE5">
        <w:rPr>
          <w:rFonts w:ascii="Arial" w:hAnsi="Arial"/>
        </w:rPr>
        <w:t xml:space="preserve">u </w:t>
      </w:r>
      <w:r>
        <w:rPr>
          <w:rFonts w:ascii="Arial" w:hAnsi="Arial"/>
        </w:rPr>
        <w:t>21 držav</w:t>
      </w:r>
      <w:r w:rsidR="00394BE5">
        <w:rPr>
          <w:rFonts w:ascii="Arial" w:hAnsi="Arial"/>
        </w:rPr>
        <w:t>i</w:t>
      </w:r>
      <w:r>
        <w:rPr>
          <w:rFonts w:ascii="Arial" w:hAnsi="Arial"/>
        </w:rPr>
        <w:t xml:space="preserve">) kako bi se istražile navike uzimanja droga </w:t>
      </w:r>
      <w:r w:rsidR="00394BE5">
        <w:rPr>
          <w:rFonts w:ascii="Arial" w:hAnsi="Arial"/>
        </w:rPr>
        <w:t>kod njihovih stanovnika</w:t>
      </w:r>
      <w:r>
        <w:rPr>
          <w:rFonts w:ascii="Arial" w:hAnsi="Arial"/>
        </w:rPr>
        <w:t xml:space="preserve">. Zaključci </w:t>
      </w:r>
      <w:r w:rsidR="00D34DD9">
        <w:rPr>
          <w:rFonts w:ascii="Arial" w:hAnsi="Arial"/>
        </w:rPr>
        <w:t>studije izneseni su</w:t>
      </w:r>
      <w:r>
        <w:rPr>
          <w:rFonts w:ascii="Arial" w:hAnsi="Arial"/>
        </w:rPr>
        <w:t xml:space="preserve"> u </w:t>
      </w:r>
      <w:r w:rsidRPr="00454A08">
        <w:rPr>
          <w:rFonts w:ascii="Arial" w:hAnsi="Arial"/>
          <w:b/>
        </w:rPr>
        <w:t>EMCDDA</w:t>
      </w:r>
      <w:r>
        <w:rPr>
          <w:rFonts w:ascii="Arial" w:hAnsi="Arial"/>
        </w:rPr>
        <w:t xml:space="preserve">-inom POD-u koji je posvećen toj temi. Otpadna voda otprilike 8 milijuna ljudi analizirana je </w:t>
      </w:r>
      <w:r w:rsidR="00D34DD9">
        <w:rPr>
          <w:rFonts w:ascii="Arial" w:hAnsi="Arial"/>
        </w:rPr>
        <w:t xml:space="preserve">s </w:t>
      </w:r>
      <w:r w:rsidR="00D34DD9">
        <w:rPr>
          <w:rFonts w:ascii="Arial" w:hAnsi="Arial"/>
        </w:rPr>
        <w:lastRenderedPageBreak/>
        <w:t xml:space="preserve">obzirom </w:t>
      </w:r>
      <w:r>
        <w:rPr>
          <w:rFonts w:ascii="Arial" w:hAnsi="Arial"/>
        </w:rPr>
        <w:t xml:space="preserve">na tragove pet nedopuštenih droga: amfetamina, kanabisa, kokaina, </w:t>
      </w:r>
      <w:r w:rsidR="007656D5">
        <w:rPr>
          <w:rFonts w:ascii="Arial" w:hAnsi="Arial"/>
        </w:rPr>
        <w:t xml:space="preserve">ecstasya </w:t>
      </w:r>
      <w:r>
        <w:rPr>
          <w:rFonts w:ascii="Arial" w:hAnsi="Arial"/>
        </w:rPr>
        <w:t xml:space="preserve"> i metamfetamina (priopćenje 5/2014.).</w:t>
      </w:r>
    </w:p>
    <w:p w:rsidR="007B6F7C" w:rsidRDefault="007B6F7C" w:rsidP="00A519DC">
      <w:pPr>
        <w:pStyle w:val="newsContent"/>
      </w:pPr>
    </w:p>
    <w:p w:rsidR="007B6F7C" w:rsidRPr="00E35A89" w:rsidRDefault="00394BE5" w:rsidP="00A519DC">
      <w:pPr>
        <w:pStyle w:val="newsContent"/>
      </w:pPr>
      <w:r>
        <w:t xml:space="preserve">Rezultati daju dragocjenu sliku o </w:t>
      </w:r>
      <w:r w:rsidR="007B6F7C">
        <w:t>protok</w:t>
      </w:r>
      <w:r>
        <w:t>u</w:t>
      </w:r>
      <w:r w:rsidR="007B6F7C">
        <w:t xml:space="preserve"> droga kroz gradove</w:t>
      </w:r>
      <w:r>
        <w:t xml:space="preserve"> obuhvaćene analizom</w:t>
      </w:r>
      <w:r w:rsidR="007B6F7C">
        <w:t xml:space="preserve"> te otkrivaju znatne regionalne razlike u obrascima uporabe droga. Primjerice, tragovi kokaina bili su brojniji u zapadnim i nekim južnim gradovima te manje brojni u sjevernim i istočnim gradovima. Iako je relativno ravnomjerno raspoređena, uporaba amfetamina najviše je prisutna na sjeveru i sjeveroistoku Europe. Čini se da se uporaba metamfetamina, koja je općenito rijetka i tradicionalno koncentrirana u Središnjoj Europi, sada širi. Uvidom u tjedne obrasce uporabe droga utvrđeno je da u većini gradova razine kokaina i </w:t>
      </w:r>
      <w:r w:rsidR="007656D5">
        <w:t xml:space="preserve">ecstasya </w:t>
      </w:r>
      <w:r w:rsidR="007B6F7C">
        <w:t xml:space="preserve"> naglo rastu vikendom, dok je uporaba metamfetamina i kanabisa ravnomjernije raspoređena tijekom tjedna.</w:t>
      </w:r>
    </w:p>
    <w:p w:rsidR="007B6F7C" w:rsidRPr="00AF2696" w:rsidRDefault="007B6F7C" w:rsidP="00C475E1">
      <w:pPr>
        <w:spacing w:before="100" w:beforeAutospacing="1"/>
        <w:rPr>
          <w:sz w:val="20"/>
          <w:szCs w:val="20"/>
        </w:rPr>
      </w:pPr>
      <w:r>
        <w:rPr>
          <w:rFonts w:ascii="Arial" w:hAnsi="Arial"/>
          <w:b/>
          <w:sz w:val="20"/>
        </w:rPr>
        <w:t>Predsjednik Upravnog odbora EMCDDA-e, João Goulão</w:t>
      </w:r>
      <w:r>
        <w:t xml:space="preserve"> </w:t>
      </w:r>
      <w:r>
        <w:rPr>
          <w:rFonts w:ascii="Arial" w:hAnsi="Arial"/>
          <w:sz w:val="20"/>
        </w:rPr>
        <w:t xml:space="preserve">rekao je: „Ove godine EMCDDA </w:t>
      </w:r>
      <w:r w:rsidR="00394BE5">
        <w:rPr>
          <w:rFonts w:ascii="Arial" w:hAnsi="Arial"/>
          <w:sz w:val="20"/>
        </w:rPr>
        <w:t xml:space="preserve">upozorava </w:t>
      </w:r>
      <w:r>
        <w:rPr>
          <w:rFonts w:ascii="Arial" w:hAnsi="Arial"/>
          <w:sz w:val="20"/>
        </w:rPr>
        <w:t>na niz novih izazova koj</w:t>
      </w:r>
      <w:r w:rsidR="00D34DD9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predstavljaju stimulansi i druge droge. Agencija osobito istražuje </w:t>
      </w:r>
      <w:r w:rsidR="00D34DD9">
        <w:rPr>
          <w:rFonts w:ascii="Arial" w:hAnsi="Arial"/>
          <w:sz w:val="20"/>
        </w:rPr>
        <w:t xml:space="preserve">novu </w:t>
      </w:r>
      <w:r>
        <w:rPr>
          <w:rFonts w:ascii="Arial" w:hAnsi="Arial"/>
          <w:sz w:val="20"/>
        </w:rPr>
        <w:t>rastuću bazu dokaza za</w:t>
      </w:r>
      <w:r w:rsidR="00D34DD9">
        <w:rPr>
          <w:rFonts w:ascii="Arial" w:hAnsi="Arial"/>
          <w:sz w:val="20"/>
        </w:rPr>
        <w:t xml:space="preserve"> potrebe</w:t>
      </w:r>
      <w:r>
        <w:rPr>
          <w:rFonts w:ascii="Arial" w:hAnsi="Arial"/>
          <w:sz w:val="20"/>
        </w:rPr>
        <w:t xml:space="preserve"> </w:t>
      </w:r>
      <w:r w:rsidR="00D34DD9">
        <w:rPr>
          <w:rFonts w:ascii="Arial" w:hAnsi="Arial"/>
          <w:sz w:val="20"/>
        </w:rPr>
        <w:t>rješavanja</w:t>
      </w:r>
      <w:r>
        <w:rPr>
          <w:rFonts w:ascii="Arial" w:hAnsi="Arial"/>
          <w:sz w:val="20"/>
        </w:rPr>
        <w:t xml:space="preserve"> problema povezanih s uporabom kokaina, metamfetamina i kanabisa. </w:t>
      </w:r>
      <w:r w:rsidR="00394BE5">
        <w:rPr>
          <w:rFonts w:ascii="Arial" w:hAnsi="Arial"/>
          <w:sz w:val="20"/>
        </w:rPr>
        <w:t>Z</w:t>
      </w:r>
      <w:r>
        <w:rPr>
          <w:rFonts w:ascii="Arial" w:hAnsi="Arial"/>
          <w:sz w:val="20"/>
        </w:rPr>
        <w:t>ajedničk</w:t>
      </w:r>
      <w:r w:rsidR="00394BE5">
        <w:rPr>
          <w:rFonts w:ascii="Arial" w:hAnsi="Arial"/>
          <w:sz w:val="20"/>
        </w:rPr>
        <w:t>i element</w:t>
      </w:r>
      <w:r>
        <w:rPr>
          <w:rFonts w:ascii="Arial" w:hAnsi="Arial"/>
          <w:sz w:val="20"/>
        </w:rPr>
        <w:t xml:space="preserve"> </w:t>
      </w:r>
      <w:r w:rsidR="00394BE5">
        <w:rPr>
          <w:rFonts w:ascii="Arial" w:hAnsi="Arial"/>
          <w:sz w:val="20"/>
        </w:rPr>
        <w:t>u tom smislu</w:t>
      </w:r>
      <w:r>
        <w:rPr>
          <w:rFonts w:ascii="Arial" w:hAnsi="Arial"/>
          <w:sz w:val="20"/>
        </w:rPr>
        <w:t xml:space="preserve"> </w:t>
      </w:r>
      <w:r w:rsidR="00394BE5">
        <w:rPr>
          <w:rFonts w:ascii="Arial" w:hAnsi="Arial"/>
          <w:sz w:val="20"/>
        </w:rPr>
        <w:t>je</w:t>
      </w:r>
      <w:r>
        <w:rPr>
          <w:rFonts w:ascii="Arial" w:hAnsi="Arial"/>
          <w:sz w:val="20"/>
        </w:rPr>
        <w:t xml:space="preserve"> važnost psihosocijalnih intervencija koje predstavljaju vrijedan dio naših terapeutskih alata za odgovor na suvremene probleme povezane s drogama.” </w:t>
      </w:r>
    </w:p>
    <w:sectPr w:rsidR="007B6F7C" w:rsidRPr="00AF2696" w:rsidSect="00E0331A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EF" w:rsidRDefault="00B32FEF" w:rsidP="009A28FB">
      <w:pPr>
        <w:spacing w:after="0" w:line="240" w:lineRule="auto"/>
      </w:pPr>
      <w:r>
        <w:separator/>
      </w:r>
    </w:p>
  </w:endnote>
  <w:endnote w:type="continuationSeparator" w:id="0">
    <w:p w:rsidR="00B32FEF" w:rsidRDefault="00B32FEF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5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8505"/>
      <w:gridCol w:w="1310"/>
    </w:tblGrid>
    <w:tr w:rsidR="007B6F7C" w:rsidRPr="003D4FF0" w:rsidTr="003D4FF0">
      <w:tc>
        <w:tcPr>
          <w:tcW w:w="8505" w:type="dxa"/>
        </w:tcPr>
        <w:p w:rsidR="007B6F7C" w:rsidRPr="003D4FF0" w:rsidRDefault="00BD2716" w:rsidP="00D37865">
          <w:pPr>
            <w:pStyle w:val="newsCoordinates"/>
          </w:pPr>
          <w:r>
            <w:rPr>
              <w:noProof/>
              <w:lang w:val="sl-SI" w:eastAsia="sl-SI"/>
            </w:rPr>
            <w:pict>
              <v:line id="Straight Connector 14" o:spid="_x0000_s2050" style="position:absolute;left:0;text-align:left;flip:x;z-index:-251658752;visibility:visible;mso-position-horizontal-relative:page;mso-position-vertical-relative:page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<w10:wrap anchorx="page" anchory="page"/>
              </v:line>
            </w:pict>
          </w:r>
          <w:r w:rsidR="007B6F7C" w:rsidRPr="003D4FF0">
            <w:t>Pogledi na droge (POD-ovi) — dostupno na engleskom na www.emcdda.europa.eu/edr2014</w:t>
          </w:r>
        </w:p>
      </w:tc>
      <w:tc>
        <w:tcPr>
          <w:tcW w:w="1310" w:type="dxa"/>
          <w:vAlign w:val="bottom"/>
        </w:tcPr>
        <w:p w:rsidR="007B6F7C" w:rsidRPr="003D4FF0" w:rsidRDefault="007B6F7C" w:rsidP="00C475E1">
          <w:pPr>
            <w:pStyle w:val="newsReference"/>
          </w:pPr>
        </w:p>
      </w:tc>
    </w:tr>
  </w:tbl>
  <w:p w:rsidR="007B6F7C" w:rsidRDefault="007B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196"/>
      <w:gridCol w:w="3294"/>
    </w:tblGrid>
    <w:tr w:rsidR="007B6F7C" w:rsidRPr="003D4FF0" w:rsidTr="003D4FF0">
      <w:tc>
        <w:tcPr>
          <w:tcW w:w="7196" w:type="dxa"/>
        </w:tcPr>
        <w:p w:rsidR="007B6F7C" w:rsidRPr="003D4FF0" w:rsidRDefault="00BD2716" w:rsidP="003B00EE">
          <w:pPr>
            <w:pStyle w:val="newsCoordinates"/>
          </w:pPr>
          <w:r>
            <w:rPr>
              <w:noProof/>
              <w:lang w:val="sl-SI" w:eastAsia="sl-SI"/>
            </w:rPr>
            <w:pict>
              <v:line id="Straight Connector 4" o:spid="_x0000_s2051" style="position:absolute;left:0;text-align:left;z-index:-251657728;visibility:visible;mso-position-horizontal-relative:page;mso-position-vertical-relative:page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<w10:wrap anchorx="page" anchory="page"/>
              </v:line>
            </w:pict>
          </w:r>
          <w:r w:rsidR="007B6F7C" w:rsidRPr="003D4FF0">
            <w:t xml:space="preserve">Kontakt: </w:t>
          </w:r>
          <w:proofErr w:type="spellStart"/>
          <w:r w:rsidR="007B6F7C" w:rsidRPr="003D4FF0">
            <w:t>Kathy</w:t>
          </w:r>
          <w:proofErr w:type="spellEnd"/>
          <w:r w:rsidR="007B6F7C" w:rsidRPr="003D4FF0">
            <w:t xml:space="preserve"> </w:t>
          </w:r>
          <w:proofErr w:type="spellStart"/>
          <w:r w:rsidR="007B6F7C" w:rsidRPr="003D4FF0">
            <w:t>Robertson</w:t>
          </w:r>
          <w:proofErr w:type="spellEnd"/>
          <w:r w:rsidR="007B6F7C" w:rsidRPr="003D4FF0">
            <w:t xml:space="preserve">, Odjel za odnose s javnošću </w:t>
          </w:r>
        </w:p>
        <w:p w:rsidR="007B6F7C" w:rsidRPr="003D4FF0" w:rsidRDefault="007B6F7C" w:rsidP="003B00EE">
          <w:pPr>
            <w:pStyle w:val="newsCoordinates"/>
          </w:pPr>
          <w:proofErr w:type="spellStart"/>
          <w:r w:rsidRPr="003D4FF0">
            <w:t>Praça</w:t>
          </w:r>
          <w:proofErr w:type="spellEnd"/>
          <w:r w:rsidRPr="003D4FF0">
            <w:t xml:space="preserve"> Europa 1, </w:t>
          </w:r>
          <w:proofErr w:type="spellStart"/>
          <w:r w:rsidRPr="003D4FF0">
            <w:t>Cais</w:t>
          </w:r>
          <w:proofErr w:type="spellEnd"/>
          <w:r w:rsidRPr="003D4FF0">
            <w:t xml:space="preserve"> do </w:t>
          </w:r>
          <w:proofErr w:type="spellStart"/>
          <w:r w:rsidRPr="003D4FF0">
            <w:t>Sodré</w:t>
          </w:r>
          <w:proofErr w:type="spellEnd"/>
          <w:r w:rsidRPr="003D4FF0">
            <w:t xml:space="preserve">, 1249-289 </w:t>
          </w:r>
          <w:proofErr w:type="spellStart"/>
          <w:r w:rsidRPr="003D4FF0">
            <w:t>Lisbon</w:t>
          </w:r>
          <w:proofErr w:type="spellEnd"/>
          <w:r w:rsidRPr="003D4FF0">
            <w:t xml:space="preserve">, Portugal </w:t>
          </w:r>
        </w:p>
        <w:p w:rsidR="007B6F7C" w:rsidRPr="003D4FF0" w:rsidRDefault="007B6F7C" w:rsidP="003B00EE">
          <w:pPr>
            <w:pStyle w:val="newsCoordinates"/>
          </w:pPr>
          <w:r w:rsidRPr="003D4FF0">
            <w:t xml:space="preserve">Tel.: +351 211 21 02 00 </w:t>
          </w:r>
          <w:r w:rsidRPr="003D4FF0">
            <w:rPr>
              <w:sz w:val="18"/>
            </w:rPr>
            <w:t xml:space="preserve">I </w:t>
          </w:r>
          <w:r w:rsidRPr="003D4FF0">
            <w:t xml:space="preserve">press@emcdda.europa.eu </w:t>
          </w:r>
          <w:r w:rsidRPr="003D4FF0">
            <w:rPr>
              <w:sz w:val="18"/>
            </w:rPr>
            <w:t>I</w:t>
          </w:r>
          <w:r w:rsidRPr="003D4FF0">
            <w:t xml:space="preserve"> emcdda.europa.eu</w:t>
          </w:r>
        </w:p>
      </w:tc>
      <w:tc>
        <w:tcPr>
          <w:tcW w:w="3294" w:type="dxa"/>
          <w:vAlign w:val="bottom"/>
        </w:tcPr>
        <w:p w:rsidR="007B6F7C" w:rsidRPr="003D4FF0" w:rsidRDefault="007B6F7C" w:rsidP="00C475E1">
          <w:pPr>
            <w:pStyle w:val="newsReference"/>
          </w:pPr>
          <w:r w:rsidRPr="003D4FF0">
            <w:t>HR — br. 4/2014.</w:t>
          </w:r>
        </w:p>
      </w:tc>
    </w:tr>
  </w:tbl>
  <w:p w:rsidR="007B6F7C" w:rsidRDefault="007B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EF" w:rsidRDefault="00B32FEF" w:rsidP="009A28FB">
      <w:pPr>
        <w:spacing w:after="0" w:line="240" w:lineRule="auto"/>
      </w:pPr>
      <w:r>
        <w:separator/>
      </w:r>
    </w:p>
  </w:footnote>
  <w:footnote w:type="continuationSeparator" w:id="0">
    <w:p w:rsidR="00B32FEF" w:rsidRDefault="00B32FEF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196"/>
      <w:gridCol w:w="3294"/>
    </w:tblGrid>
    <w:tr w:rsidR="007B6F7C" w:rsidRPr="003D4FF0" w:rsidTr="003D4FF0">
      <w:tc>
        <w:tcPr>
          <w:tcW w:w="7196" w:type="dxa"/>
        </w:tcPr>
        <w:p w:rsidR="007B6F7C" w:rsidRPr="003D4FF0" w:rsidRDefault="00BD2716" w:rsidP="00CC4FDA">
          <w:pPr>
            <w:pStyle w:val="newsEmbargo"/>
          </w:pPr>
          <w:r>
            <w:rPr>
              <w:noProof/>
              <w:lang w:val="sl-SI" w:eastAsia="sl-SI"/>
            </w:rPr>
            <w:pict>
              <v:line id="Straight Connector 11" o:spid="_x0000_s2049" style="position:absolute;left:0;text-align:left;z-index:-251659776;visibility:visible;mso-position-horizontal-relative:page;mso-position-vertical-relative:page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<w10:wrap anchorx="page" anchory="page"/>
              </v:line>
            </w:pict>
          </w:r>
          <w:r w:rsidR="007B6F7C" w:rsidRPr="003D4FF0">
            <w:t xml:space="preserve">Pogledi na </w:t>
          </w:r>
          <w:proofErr w:type="spellStart"/>
          <w:r w:rsidR="007B6F7C" w:rsidRPr="003D4FF0">
            <w:t>droge</w:t>
          </w:r>
          <w:r w:rsidR="007B6F7C" w:rsidRPr="003D4FF0">
            <w:rPr>
              <w:noProof/>
              <w:sz w:val="18"/>
            </w:rPr>
            <w:t>I</w:t>
          </w:r>
          <w:proofErr w:type="spellEnd"/>
          <w:r w:rsidR="007B6F7C" w:rsidRPr="003D4FF0">
            <w:t xml:space="preserve"> </w:t>
          </w:r>
          <w:r w:rsidR="007B6F7C" w:rsidRPr="00454A08">
            <w:rPr>
              <w:b/>
              <w:noProof/>
              <w:color w:val="FF0000"/>
            </w:rPr>
            <w:t>EMBARGO 10:00 ZEV/lisabonsko vrijeme</w:t>
          </w:r>
        </w:p>
      </w:tc>
      <w:tc>
        <w:tcPr>
          <w:tcW w:w="3294" w:type="dxa"/>
          <w:vAlign w:val="bottom"/>
        </w:tcPr>
        <w:p w:rsidR="007B6F7C" w:rsidRPr="003D4FF0" w:rsidRDefault="007B6F7C" w:rsidP="00C475E1">
          <w:pPr>
            <w:pStyle w:val="newsReference"/>
          </w:pPr>
          <w:r w:rsidRPr="003D4FF0">
            <w:t>27. 5. 2014.</w:t>
          </w:r>
        </w:p>
      </w:tc>
    </w:tr>
  </w:tbl>
  <w:p w:rsidR="007B6F7C" w:rsidRDefault="007B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32D"/>
    <w:multiLevelType w:val="hybridMultilevel"/>
    <w:tmpl w:val="B8AE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3971"/>
    <w:multiLevelType w:val="hybridMultilevel"/>
    <w:tmpl w:val="E53A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F099F"/>
    <w:multiLevelType w:val="hybridMultilevel"/>
    <w:tmpl w:val="B2B8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A4A56"/>
    <w:multiLevelType w:val="hybridMultilevel"/>
    <w:tmpl w:val="8A32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C3A3B"/>
    <w:multiLevelType w:val="hybridMultilevel"/>
    <w:tmpl w:val="9BE8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19C"/>
    <w:rsid w:val="000007AF"/>
    <w:rsid w:val="00001A6A"/>
    <w:rsid w:val="00014E8E"/>
    <w:rsid w:val="00023062"/>
    <w:rsid w:val="00036DAA"/>
    <w:rsid w:val="000535B7"/>
    <w:rsid w:val="00066C5C"/>
    <w:rsid w:val="00067DD3"/>
    <w:rsid w:val="00080F9B"/>
    <w:rsid w:val="000C6200"/>
    <w:rsid w:val="000C77EB"/>
    <w:rsid w:val="000D09FC"/>
    <w:rsid w:val="000D5E92"/>
    <w:rsid w:val="000F55ED"/>
    <w:rsid w:val="00105BFC"/>
    <w:rsid w:val="00107C96"/>
    <w:rsid w:val="00130564"/>
    <w:rsid w:val="00147EC6"/>
    <w:rsid w:val="00164CB4"/>
    <w:rsid w:val="00167D76"/>
    <w:rsid w:val="0017713E"/>
    <w:rsid w:val="001800D0"/>
    <w:rsid w:val="001801D4"/>
    <w:rsid w:val="001848B8"/>
    <w:rsid w:val="00187B93"/>
    <w:rsid w:val="00191616"/>
    <w:rsid w:val="001A3338"/>
    <w:rsid w:val="001B0A3C"/>
    <w:rsid w:val="001B74EB"/>
    <w:rsid w:val="001C05A8"/>
    <w:rsid w:val="001C795A"/>
    <w:rsid w:val="001D179B"/>
    <w:rsid w:val="001D5C26"/>
    <w:rsid w:val="001E4544"/>
    <w:rsid w:val="001F70B4"/>
    <w:rsid w:val="00216D75"/>
    <w:rsid w:val="00223753"/>
    <w:rsid w:val="00231487"/>
    <w:rsid w:val="0024165C"/>
    <w:rsid w:val="002419E2"/>
    <w:rsid w:val="002557B0"/>
    <w:rsid w:val="00257357"/>
    <w:rsid w:val="002646E4"/>
    <w:rsid w:val="00270DB1"/>
    <w:rsid w:val="0027252D"/>
    <w:rsid w:val="00274794"/>
    <w:rsid w:val="00276B02"/>
    <w:rsid w:val="0028141E"/>
    <w:rsid w:val="002948E2"/>
    <w:rsid w:val="002A4C05"/>
    <w:rsid w:val="002A61F7"/>
    <w:rsid w:val="002B05CE"/>
    <w:rsid w:val="002B45AC"/>
    <w:rsid w:val="002C02C3"/>
    <w:rsid w:val="002C04F0"/>
    <w:rsid w:val="002D0144"/>
    <w:rsid w:val="002D171F"/>
    <w:rsid w:val="002D7EE3"/>
    <w:rsid w:val="002E4882"/>
    <w:rsid w:val="00303D0F"/>
    <w:rsid w:val="0033158E"/>
    <w:rsid w:val="0033159F"/>
    <w:rsid w:val="00332C2A"/>
    <w:rsid w:val="00333460"/>
    <w:rsid w:val="00334C24"/>
    <w:rsid w:val="00337ECC"/>
    <w:rsid w:val="00343ECE"/>
    <w:rsid w:val="00351C0D"/>
    <w:rsid w:val="0036121D"/>
    <w:rsid w:val="00362443"/>
    <w:rsid w:val="00380AA5"/>
    <w:rsid w:val="00387D02"/>
    <w:rsid w:val="0039134B"/>
    <w:rsid w:val="00394BE5"/>
    <w:rsid w:val="003A0766"/>
    <w:rsid w:val="003B00EE"/>
    <w:rsid w:val="003B41B1"/>
    <w:rsid w:val="003C0395"/>
    <w:rsid w:val="003C194C"/>
    <w:rsid w:val="003C5F39"/>
    <w:rsid w:val="003C6AF1"/>
    <w:rsid w:val="003D0691"/>
    <w:rsid w:val="003D4FF0"/>
    <w:rsid w:val="003D6508"/>
    <w:rsid w:val="004137B0"/>
    <w:rsid w:val="0041405E"/>
    <w:rsid w:val="004221D3"/>
    <w:rsid w:val="004378E7"/>
    <w:rsid w:val="0044111C"/>
    <w:rsid w:val="00445080"/>
    <w:rsid w:val="0045468D"/>
    <w:rsid w:val="00454A08"/>
    <w:rsid w:val="0045678C"/>
    <w:rsid w:val="00481C64"/>
    <w:rsid w:val="00482CE8"/>
    <w:rsid w:val="004847FB"/>
    <w:rsid w:val="00491D27"/>
    <w:rsid w:val="004A4982"/>
    <w:rsid w:val="004A5D3B"/>
    <w:rsid w:val="004C3028"/>
    <w:rsid w:val="004D6E0C"/>
    <w:rsid w:val="004E1E22"/>
    <w:rsid w:val="004F2825"/>
    <w:rsid w:val="00511C15"/>
    <w:rsid w:val="005153AE"/>
    <w:rsid w:val="005162AE"/>
    <w:rsid w:val="00520EF1"/>
    <w:rsid w:val="00542CEE"/>
    <w:rsid w:val="00545BD5"/>
    <w:rsid w:val="00555226"/>
    <w:rsid w:val="00557FD9"/>
    <w:rsid w:val="005869C3"/>
    <w:rsid w:val="00587E09"/>
    <w:rsid w:val="005933EF"/>
    <w:rsid w:val="005944A5"/>
    <w:rsid w:val="005A0DC8"/>
    <w:rsid w:val="005B05A0"/>
    <w:rsid w:val="005B0882"/>
    <w:rsid w:val="005B1B63"/>
    <w:rsid w:val="005C13BA"/>
    <w:rsid w:val="005C4033"/>
    <w:rsid w:val="005C7C2F"/>
    <w:rsid w:val="005E3A14"/>
    <w:rsid w:val="00610C38"/>
    <w:rsid w:val="006116D9"/>
    <w:rsid w:val="00623A55"/>
    <w:rsid w:val="00623B75"/>
    <w:rsid w:val="006261FA"/>
    <w:rsid w:val="0063677C"/>
    <w:rsid w:val="00666A63"/>
    <w:rsid w:val="00671508"/>
    <w:rsid w:val="00685D83"/>
    <w:rsid w:val="00686810"/>
    <w:rsid w:val="006A448F"/>
    <w:rsid w:val="006B322F"/>
    <w:rsid w:val="006D2DB3"/>
    <w:rsid w:val="006D6B82"/>
    <w:rsid w:val="006E67B1"/>
    <w:rsid w:val="00705E3A"/>
    <w:rsid w:val="00730132"/>
    <w:rsid w:val="007334CA"/>
    <w:rsid w:val="007656D5"/>
    <w:rsid w:val="00773814"/>
    <w:rsid w:val="00774992"/>
    <w:rsid w:val="007819C2"/>
    <w:rsid w:val="00791F09"/>
    <w:rsid w:val="00794D59"/>
    <w:rsid w:val="007B0E03"/>
    <w:rsid w:val="007B1CCD"/>
    <w:rsid w:val="007B3FA7"/>
    <w:rsid w:val="007B6F7C"/>
    <w:rsid w:val="007E5DE3"/>
    <w:rsid w:val="00806A62"/>
    <w:rsid w:val="00813FB5"/>
    <w:rsid w:val="00816BF3"/>
    <w:rsid w:val="008179C1"/>
    <w:rsid w:val="008301BA"/>
    <w:rsid w:val="00841E86"/>
    <w:rsid w:val="00853EEA"/>
    <w:rsid w:val="00870194"/>
    <w:rsid w:val="00881730"/>
    <w:rsid w:val="008B0F13"/>
    <w:rsid w:val="008C0886"/>
    <w:rsid w:val="008C1172"/>
    <w:rsid w:val="008C1B06"/>
    <w:rsid w:val="008C6C93"/>
    <w:rsid w:val="008D3760"/>
    <w:rsid w:val="008D4910"/>
    <w:rsid w:val="008D54B3"/>
    <w:rsid w:val="008E6E3C"/>
    <w:rsid w:val="008F177B"/>
    <w:rsid w:val="008F399E"/>
    <w:rsid w:val="00902300"/>
    <w:rsid w:val="00913325"/>
    <w:rsid w:val="009267B0"/>
    <w:rsid w:val="0092719C"/>
    <w:rsid w:val="00944CBD"/>
    <w:rsid w:val="00955F0C"/>
    <w:rsid w:val="00974A27"/>
    <w:rsid w:val="009A28FB"/>
    <w:rsid w:val="009B1A9F"/>
    <w:rsid w:val="009B54F2"/>
    <w:rsid w:val="009D54D0"/>
    <w:rsid w:val="009D6255"/>
    <w:rsid w:val="009D7B7D"/>
    <w:rsid w:val="009F2DE5"/>
    <w:rsid w:val="009F3D99"/>
    <w:rsid w:val="009F4FB0"/>
    <w:rsid w:val="00A01AF8"/>
    <w:rsid w:val="00A0788A"/>
    <w:rsid w:val="00A136AA"/>
    <w:rsid w:val="00A15FDF"/>
    <w:rsid w:val="00A16B77"/>
    <w:rsid w:val="00A1756B"/>
    <w:rsid w:val="00A22173"/>
    <w:rsid w:val="00A311EF"/>
    <w:rsid w:val="00A3254D"/>
    <w:rsid w:val="00A346AF"/>
    <w:rsid w:val="00A34B14"/>
    <w:rsid w:val="00A44BE6"/>
    <w:rsid w:val="00A519DC"/>
    <w:rsid w:val="00A650B5"/>
    <w:rsid w:val="00A661E2"/>
    <w:rsid w:val="00A662A3"/>
    <w:rsid w:val="00A71949"/>
    <w:rsid w:val="00A74389"/>
    <w:rsid w:val="00A841A9"/>
    <w:rsid w:val="00A856B7"/>
    <w:rsid w:val="00AA15DA"/>
    <w:rsid w:val="00AA5155"/>
    <w:rsid w:val="00AA584A"/>
    <w:rsid w:val="00AB1FD1"/>
    <w:rsid w:val="00AD7BFC"/>
    <w:rsid w:val="00AE093C"/>
    <w:rsid w:val="00AE1738"/>
    <w:rsid w:val="00AF13B3"/>
    <w:rsid w:val="00AF259D"/>
    <w:rsid w:val="00AF2696"/>
    <w:rsid w:val="00B00D4D"/>
    <w:rsid w:val="00B11A35"/>
    <w:rsid w:val="00B11B73"/>
    <w:rsid w:val="00B11EB3"/>
    <w:rsid w:val="00B11F96"/>
    <w:rsid w:val="00B13F14"/>
    <w:rsid w:val="00B2495E"/>
    <w:rsid w:val="00B272F1"/>
    <w:rsid w:val="00B27941"/>
    <w:rsid w:val="00B32FEF"/>
    <w:rsid w:val="00B33AAA"/>
    <w:rsid w:val="00B458EB"/>
    <w:rsid w:val="00B460E8"/>
    <w:rsid w:val="00B50AB8"/>
    <w:rsid w:val="00B51E08"/>
    <w:rsid w:val="00B57464"/>
    <w:rsid w:val="00B61036"/>
    <w:rsid w:val="00B72DD3"/>
    <w:rsid w:val="00B7335C"/>
    <w:rsid w:val="00B82086"/>
    <w:rsid w:val="00B82FB8"/>
    <w:rsid w:val="00B939A6"/>
    <w:rsid w:val="00B94AC4"/>
    <w:rsid w:val="00B97BC5"/>
    <w:rsid w:val="00BA1B63"/>
    <w:rsid w:val="00BB5B77"/>
    <w:rsid w:val="00BB60CF"/>
    <w:rsid w:val="00BD2716"/>
    <w:rsid w:val="00BE21A0"/>
    <w:rsid w:val="00BE4E06"/>
    <w:rsid w:val="00BF0C8C"/>
    <w:rsid w:val="00BF1E3B"/>
    <w:rsid w:val="00BF4CCB"/>
    <w:rsid w:val="00C02367"/>
    <w:rsid w:val="00C12F6A"/>
    <w:rsid w:val="00C36BC1"/>
    <w:rsid w:val="00C475E1"/>
    <w:rsid w:val="00C479D0"/>
    <w:rsid w:val="00C628C4"/>
    <w:rsid w:val="00C63254"/>
    <w:rsid w:val="00C75D9C"/>
    <w:rsid w:val="00C874C0"/>
    <w:rsid w:val="00CA2FF5"/>
    <w:rsid w:val="00CA6F07"/>
    <w:rsid w:val="00CA704F"/>
    <w:rsid w:val="00CB1D9D"/>
    <w:rsid w:val="00CB49DA"/>
    <w:rsid w:val="00CB530F"/>
    <w:rsid w:val="00CB6871"/>
    <w:rsid w:val="00CC1F19"/>
    <w:rsid w:val="00CC4FDA"/>
    <w:rsid w:val="00CC6A8B"/>
    <w:rsid w:val="00CC7AB9"/>
    <w:rsid w:val="00CC7E71"/>
    <w:rsid w:val="00CE1BE7"/>
    <w:rsid w:val="00CF4EBF"/>
    <w:rsid w:val="00CF6944"/>
    <w:rsid w:val="00D00C7E"/>
    <w:rsid w:val="00D01335"/>
    <w:rsid w:val="00D03EC6"/>
    <w:rsid w:val="00D06C03"/>
    <w:rsid w:val="00D1526C"/>
    <w:rsid w:val="00D23EB6"/>
    <w:rsid w:val="00D261DF"/>
    <w:rsid w:val="00D27287"/>
    <w:rsid w:val="00D3312B"/>
    <w:rsid w:val="00D34DD9"/>
    <w:rsid w:val="00D37865"/>
    <w:rsid w:val="00D45200"/>
    <w:rsid w:val="00D508E2"/>
    <w:rsid w:val="00D57367"/>
    <w:rsid w:val="00D646CB"/>
    <w:rsid w:val="00D66EBE"/>
    <w:rsid w:val="00D74AB2"/>
    <w:rsid w:val="00D84AE3"/>
    <w:rsid w:val="00D92A34"/>
    <w:rsid w:val="00DC0CD9"/>
    <w:rsid w:val="00DC7F1E"/>
    <w:rsid w:val="00DD1E75"/>
    <w:rsid w:val="00DD3BCD"/>
    <w:rsid w:val="00DD3DB5"/>
    <w:rsid w:val="00DD500F"/>
    <w:rsid w:val="00DD6346"/>
    <w:rsid w:val="00DF3987"/>
    <w:rsid w:val="00DF7C96"/>
    <w:rsid w:val="00E001FE"/>
    <w:rsid w:val="00E0331A"/>
    <w:rsid w:val="00E15F0B"/>
    <w:rsid w:val="00E16F24"/>
    <w:rsid w:val="00E232DE"/>
    <w:rsid w:val="00E35A89"/>
    <w:rsid w:val="00E413AC"/>
    <w:rsid w:val="00E57C9D"/>
    <w:rsid w:val="00E66CCD"/>
    <w:rsid w:val="00E81F3D"/>
    <w:rsid w:val="00E83FC3"/>
    <w:rsid w:val="00E86B71"/>
    <w:rsid w:val="00E90C3C"/>
    <w:rsid w:val="00E92255"/>
    <w:rsid w:val="00E9414F"/>
    <w:rsid w:val="00EB4F0D"/>
    <w:rsid w:val="00EB62E7"/>
    <w:rsid w:val="00ED1218"/>
    <w:rsid w:val="00EE23CC"/>
    <w:rsid w:val="00F022E8"/>
    <w:rsid w:val="00F04FA4"/>
    <w:rsid w:val="00F06CDE"/>
    <w:rsid w:val="00F15F1E"/>
    <w:rsid w:val="00F21CA9"/>
    <w:rsid w:val="00F231DD"/>
    <w:rsid w:val="00F24096"/>
    <w:rsid w:val="00F3130C"/>
    <w:rsid w:val="00F414EF"/>
    <w:rsid w:val="00F47542"/>
    <w:rsid w:val="00F557D0"/>
    <w:rsid w:val="00F73AA5"/>
    <w:rsid w:val="00F73DAF"/>
    <w:rsid w:val="00F75259"/>
    <w:rsid w:val="00F848E5"/>
    <w:rsid w:val="00FA6659"/>
    <w:rsid w:val="00FB1D61"/>
    <w:rsid w:val="00FB351B"/>
    <w:rsid w:val="00FB4DAF"/>
    <w:rsid w:val="00FC0187"/>
    <w:rsid w:val="00FC3652"/>
    <w:rsid w:val="00FC66C4"/>
    <w:rsid w:val="00FD228B"/>
    <w:rsid w:val="00FD7B6F"/>
    <w:rsid w:val="00FE3721"/>
    <w:rsid w:val="00FE4789"/>
    <w:rsid w:val="00FE5BA6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3B"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uiPriority w:val="99"/>
    <w:rsid w:val="00343ECE"/>
    <w:pPr>
      <w:tabs>
        <w:tab w:val="left" w:pos="5205"/>
      </w:tabs>
      <w:spacing w:before="480" w:after="112" w:line="18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3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A28FB"/>
    <w:rPr>
      <w:rFonts w:cs="Times New Roman"/>
    </w:rPr>
  </w:style>
  <w:style w:type="character" w:styleId="Hyperlink">
    <w:name w:val="Hyperlink"/>
    <w:uiPriority w:val="99"/>
    <w:rsid w:val="00A661E2"/>
    <w:rPr>
      <w:rFonts w:ascii="Arial" w:hAnsi="Arial" w:cs="Times New Roman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uiPriority w:val="99"/>
    <w:rsid w:val="00454A08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uiPriority w:val="99"/>
    <w:rsid w:val="00A519DC"/>
    <w:pPr>
      <w:spacing w:after="0" w:line="26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uiPriority w:val="99"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uiPriority w:val="99"/>
    <w:rsid w:val="00C475E1"/>
    <w:pPr>
      <w:spacing w:after="0" w:line="200" w:lineRule="exact"/>
      <w:ind w:left="1819" w:hanging="425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uiPriority w:val="99"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rFonts w:cs="Times New Roman"/>
      <w:color w:val="808080"/>
    </w:rPr>
  </w:style>
  <w:style w:type="paragraph" w:customStyle="1" w:styleId="newsCoordinates">
    <w:name w:val="newsCoordinates"/>
    <w:basedOn w:val="Footer"/>
    <w:autoRedefine/>
    <w:uiPriority w:val="99"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uiPriority w:val="99"/>
    <w:rsid w:val="002948E2"/>
    <w:rPr>
      <w:color w:val="000000"/>
      <w:sz w:val="15"/>
    </w:rPr>
  </w:style>
  <w:style w:type="paragraph" w:customStyle="1" w:styleId="newsDate">
    <w:name w:val="newsDate"/>
    <w:basedOn w:val="newsEmbargo"/>
    <w:autoRedefine/>
    <w:uiPriority w:val="99"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uiPriority w:val="99"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9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uiPriority w:val="99"/>
    <w:rsid w:val="00D84AE3"/>
    <w:rPr>
      <w:rFonts w:ascii="Comic Sans MS" w:eastAsia="Times New Roman" w:hAnsi="Comic Sans MS"/>
      <w:color w:val="0000FF"/>
      <w:sz w:val="24"/>
      <w:lang w:val="hr-HR" w:eastAsia="hr-HR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uiPriority w:val="99"/>
    <w:rsid w:val="00CB49DA"/>
    <w:rPr>
      <w:vertAlign w:val="superscript"/>
    </w:rPr>
  </w:style>
  <w:style w:type="character" w:customStyle="1" w:styleId="newsContentChar">
    <w:name w:val="newsContent Char"/>
    <w:link w:val="newsContent"/>
    <w:uiPriority w:val="99"/>
    <w:locked/>
    <w:rsid w:val="00A519DC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link w:val="newsNotes"/>
    <w:uiPriority w:val="99"/>
    <w:locked/>
    <w:rsid w:val="00CB49DA"/>
    <w:rPr>
      <w:rFonts w:ascii="Arial" w:hAnsi="Arial" w:cs="Arial"/>
      <w:color w:val="000000"/>
      <w:sz w:val="20"/>
      <w:szCs w:val="20"/>
    </w:rPr>
  </w:style>
  <w:style w:type="character" w:customStyle="1" w:styleId="newsNotesNumberChar">
    <w:name w:val="newsNotesNumber Char"/>
    <w:link w:val="newsNotesNumber"/>
    <w:uiPriority w:val="99"/>
    <w:locked/>
    <w:rsid w:val="00CB49DA"/>
    <w:rPr>
      <w:rFonts w:ascii="Arial" w:hAnsi="Arial" w:cs="Arial"/>
      <w:color w:val="000000"/>
      <w:sz w:val="20"/>
      <w:szCs w:val="20"/>
      <w:vertAlign w:val="superscript"/>
    </w:rPr>
  </w:style>
  <w:style w:type="paragraph" w:styleId="ListParagraph">
    <w:name w:val="List Paragraph"/>
    <w:basedOn w:val="Normal"/>
    <w:uiPriority w:val="99"/>
    <w:qFormat/>
    <w:rsid w:val="006261F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0D5E9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0D5E92"/>
    <w:rPr>
      <w:rFonts w:ascii="Cambria" w:hAnsi="Cambria" w:cs="Times New Roman"/>
      <w:spacing w:val="5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rsid w:val="006E6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E67B1"/>
    <w:rPr>
      <w:rFonts w:cs="Times New Roman"/>
      <w:sz w:val="20"/>
      <w:szCs w:val="20"/>
    </w:rPr>
  </w:style>
  <w:style w:type="character" w:styleId="CommentReference">
    <w:name w:val="annotation reference"/>
    <w:uiPriority w:val="99"/>
    <w:semiHidden/>
    <w:rsid w:val="00CC7AB9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A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C7AB9"/>
    <w:rPr>
      <w:rFonts w:cs="Times New Roman"/>
      <w:b/>
      <w:bCs/>
      <w:sz w:val="20"/>
      <w:szCs w:val="20"/>
    </w:rPr>
  </w:style>
  <w:style w:type="paragraph" w:customStyle="1" w:styleId="newscontent0">
    <w:name w:val="newscontent"/>
    <w:basedOn w:val="Normal"/>
    <w:uiPriority w:val="99"/>
    <w:rsid w:val="00DD3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1220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EN</vt:lpstr>
    </vt:vector>
  </TitlesOfParts>
  <Company>Translation Centre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Translation Centre</dc:creator>
  <cp:lastModifiedBy>Kathryn Robertson</cp:lastModifiedBy>
  <cp:revision>5</cp:revision>
  <cp:lastPrinted>2014-05-22T08:13:00Z</cp:lastPrinted>
  <dcterms:created xsi:type="dcterms:W3CDTF">2014-05-15T14:08:00Z</dcterms:created>
  <dcterms:modified xsi:type="dcterms:W3CDTF">2014-05-22T08:17:00Z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