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0" w:rightFromText="170" w:vertAnchor="page" w:horzAnchor="page" w:tblpX="738" w:tblpY="738"/>
        <w:tblW w:w="5615" w:type="pct"/>
        <w:tblLayout w:type="fixed"/>
        <w:tblCellMar>
          <w:left w:w="142" w:type="dxa"/>
          <w:right w:w="0" w:type="dxa"/>
        </w:tblCellMar>
        <w:tblLook w:val="0080" w:firstRow="0" w:lastRow="0" w:firstColumn="1" w:lastColumn="0" w:noHBand="0" w:noVBand="0"/>
      </w:tblPr>
      <w:tblGrid>
        <w:gridCol w:w="4972"/>
        <w:gridCol w:w="5692"/>
      </w:tblGrid>
      <w:tr w:rsidR="008D7E5D" w:rsidRPr="008E6224" w:rsidTr="00632A01">
        <w:trPr>
          <w:trHeight w:val="1695"/>
        </w:trPr>
        <w:tc>
          <w:tcPr>
            <w:tcW w:w="2331" w:type="pct"/>
          </w:tcPr>
          <w:p w:rsidR="008D7E5D" w:rsidRPr="008E6224" w:rsidRDefault="00C36FEE" w:rsidP="00A165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227.9pt;height:45.1pt;visibility:visible">
                  <v:imagedata r:id="rId7" o:title=""/>
                </v:shape>
              </w:pict>
            </w:r>
          </w:p>
        </w:tc>
        <w:tc>
          <w:tcPr>
            <w:tcW w:w="2669" w:type="pct"/>
          </w:tcPr>
          <w:p w:rsidR="008D7E5D" w:rsidRPr="008E6224" w:rsidRDefault="008D7E5D" w:rsidP="00A165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D7E5D" w:rsidRPr="008E6224" w:rsidRDefault="008D7E5D" w:rsidP="00A165D8">
      <w:pPr>
        <w:spacing w:after="0"/>
        <w:rPr>
          <w:rFonts w:ascii="Arial" w:hAnsi="Arial" w:cs="Arial"/>
          <w:vanish/>
        </w:rPr>
      </w:pPr>
    </w:p>
    <w:tbl>
      <w:tblPr>
        <w:tblW w:w="12796" w:type="dxa"/>
        <w:tblInd w:w="-127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96"/>
      </w:tblGrid>
      <w:tr w:rsidR="008D7E5D" w:rsidRPr="008E6224" w:rsidTr="00632A01">
        <w:trPr>
          <w:trHeight w:val="1304"/>
        </w:trPr>
        <w:tc>
          <w:tcPr>
            <w:tcW w:w="12796" w:type="dxa"/>
            <w:vAlign w:val="bottom"/>
          </w:tcPr>
          <w:p w:rsidR="008D7E5D" w:rsidRPr="008E6224" w:rsidRDefault="00C36FEE" w:rsidP="00A165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hu-HU"/>
              </w:rPr>
              <w:pict>
                <v:shape id="Picture 5" o:spid="_x0000_i1026" type="#_x0000_t75" style="width:595.4pt;height:1in;visibility:visible">
                  <v:imagedata r:id="rId8" o:title=""/>
                </v:shape>
              </w:pict>
            </w:r>
          </w:p>
        </w:tc>
      </w:tr>
    </w:tbl>
    <w:p w:rsidR="008D7E5D" w:rsidRPr="00A165D8" w:rsidRDefault="008D7E5D" w:rsidP="00A165D8">
      <w:pPr>
        <w:pStyle w:val="newsTitle"/>
      </w:pPr>
      <w:r w:rsidRPr="00A165D8">
        <w:t>2014. ÉVI EURÓPAI KÁBÍTÓSZER</w:t>
      </w:r>
      <w:r w:rsidR="0009358F" w:rsidRPr="00A165D8">
        <w:t>-</w:t>
      </w:r>
      <w:r w:rsidRPr="00A165D8">
        <w:t xml:space="preserve">JELENTÉS – KÁBÍTÓSZERÜGYI KIEMELT TÉMÁK </w:t>
      </w:r>
    </w:p>
    <w:p w:rsidR="008D7E5D" w:rsidRPr="008E6224" w:rsidRDefault="008D7E5D" w:rsidP="00A165D8">
      <w:pPr>
        <w:pStyle w:val="newsSubTitle"/>
        <w:rPr>
          <w:rFonts w:cs="Arial"/>
        </w:rPr>
      </w:pPr>
      <w:r w:rsidRPr="008E6224">
        <w:rPr>
          <w:rFonts w:cs="Arial"/>
        </w:rPr>
        <w:t xml:space="preserve">Az uniós kábítószerügyi központ hat témakört emelt ki, új online elemzésekkel </w:t>
      </w:r>
    </w:p>
    <w:p w:rsidR="008D7E5D" w:rsidRPr="00A165D8" w:rsidRDefault="008D7E5D" w:rsidP="00A165D8">
      <w:pPr>
        <w:rPr>
          <w:rFonts w:ascii="Arial" w:hAnsi="Arial" w:cs="Arial"/>
          <w:sz w:val="20"/>
          <w:szCs w:val="20"/>
        </w:rPr>
      </w:pPr>
      <w:r w:rsidRPr="00A165D8">
        <w:rPr>
          <w:rFonts w:ascii="Arial" w:hAnsi="Arial" w:cs="Arial"/>
          <w:sz w:val="20"/>
          <w:szCs w:val="20"/>
        </w:rPr>
        <w:t xml:space="preserve">(2014.5.27., LISSZABON </w:t>
      </w:r>
      <w:r w:rsidRPr="00A165D8">
        <w:rPr>
          <w:rFonts w:ascii="Arial" w:hAnsi="Arial" w:cs="Arial"/>
          <w:b/>
          <w:color w:val="FF0000"/>
          <w:sz w:val="20"/>
          <w:szCs w:val="20"/>
        </w:rPr>
        <w:t>HÍRZÁRLAT WET/lisszaboni idő szerint 10.00 óráig</w:t>
      </w:r>
      <w:r w:rsidRPr="00A165D8">
        <w:rPr>
          <w:rFonts w:ascii="Arial" w:hAnsi="Arial" w:cs="Arial"/>
          <w:sz w:val="20"/>
          <w:szCs w:val="20"/>
        </w:rPr>
        <w:t xml:space="preserve">) Az </w:t>
      </w:r>
      <w:r w:rsidRPr="00A165D8">
        <w:rPr>
          <w:rFonts w:ascii="Arial" w:hAnsi="Arial" w:cs="Arial"/>
          <w:b/>
          <w:sz w:val="20"/>
          <w:szCs w:val="20"/>
        </w:rPr>
        <w:t>EU kábítószerügyi központja (EMCDDA)</w:t>
      </w:r>
      <w:r w:rsidRPr="00A165D8">
        <w:rPr>
          <w:rFonts w:ascii="Arial" w:hAnsi="Arial" w:cs="Arial"/>
          <w:sz w:val="20"/>
          <w:szCs w:val="20"/>
        </w:rPr>
        <w:t xml:space="preserve"> a ma megjelenő </w:t>
      </w:r>
      <w:r w:rsidRPr="00A165D8">
        <w:rPr>
          <w:rFonts w:ascii="Arial" w:hAnsi="Arial" w:cs="Arial"/>
          <w:i/>
          <w:sz w:val="20"/>
          <w:szCs w:val="20"/>
        </w:rPr>
        <w:t xml:space="preserve">2014. évi </w:t>
      </w:r>
      <w:r w:rsidR="0009358F" w:rsidRPr="00A165D8">
        <w:rPr>
          <w:rFonts w:ascii="Arial" w:hAnsi="Arial" w:cs="Arial"/>
          <w:b/>
          <w:i/>
          <w:sz w:val="20"/>
          <w:szCs w:val="20"/>
        </w:rPr>
        <w:t>E</w:t>
      </w:r>
      <w:r w:rsidRPr="00A165D8">
        <w:rPr>
          <w:rFonts w:ascii="Arial" w:hAnsi="Arial" w:cs="Arial"/>
          <w:b/>
          <w:i/>
          <w:sz w:val="20"/>
          <w:szCs w:val="20"/>
        </w:rPr>
        <w:t>urópai kábítószer</w:t>
      </w:r>
      <w:r w:rsidR="0009358F" w:rsidRPr="00A165D8">
        <w:rPr>
          <w:rFonts w:ascii="Arial" w:hAnsi="Arial" w:cs="Arial"/>
          <w:b/>
          <w:i/>
          <w:sz w:val="20"/>
          <w:szCs w:val="20"/>
        </w:rPr>
        <w:t>-</w:t>
      </w:r>
      <w:r w:rsidRPr="00A165D8">
        <w:rPr>
          <w:rFonts w:ascii="Arial" w:hAnsi="Arial" w:cs="Arial"/>
          <w:b/>
          <w:i/>
          <w:sz w:val="20"/>
          <w:szCs w:val="20"/>
        </w:rPr>
        <w:t>jelentés: Tendenciák és fejlemények</w:t>
      </w:r>
      <w:r w:rsidRPr="00A165D8">
        <w:rPr>
          <w:rFonts w:ascii="Arial" w:hAnsi="Arial" w:cs="Arial"/>
          <w:i/>
          <w:sz w:val="20"/>
          <w:szCs w:val="20"/>
        </w:rPr>
        <w:t xml:space="preserve"> </w:t>
      </w:r>
      <w:r w:rsidRPr="00A165D8">
        <w:rPr>
          <w:rFonts w:ascii="Arial" w:hAnsi="Arial" w:cs="Arial"/>
          <w:sz w:val="20"/>
          <w:szCs w:val="20"/>
        </w:rPr>
        <w:t xml:space="preserve">című kiadványa mellett a </w:t>
      </w:r>
      <w:r w:rsidRPr="00A165D8">
        <w:rPr>
          <w:rFonts w:ascii="Arial" w:hAnsi="Arial" w:cs="Arial"/>
          <w:b/>
          <w:sz w:val="20"/>
          <w:szCs w:val="20"/>
        </w:rPr>
        <w:t>Kábítószerügyi kiemelt témák</w:t>
      </w:r>
      <w:r w:rsidRPr="00A165D8">
        <w:rPr>
          <w:rFonts w:ascii="Arial" w:hAnsi="Arial" w:cs="Arial"/>
          <w:sz w:val="20"/>
          <w:szCs w:val="20"/>
        </w:rPr>
        <w:t xml:space="preserve"> sorozatát</w:t>
      </w:r>
      <w:r w:rsidR="00A165D8" w:rsidRPr="00A165D8">
        <w:rPr>
          <w:rFonts w:ascii="Arial" w:hAnsi="Arial" w:cs="Arial"/>
          <w:sz w:val="20"/>
          <w:szCs w:val="20"/>
        </w:rPr>
        <w:t xml:space="preserve"> </w:t>
      </w:r>
      <w:r w:rsidRPr="00A165D8">
        <w:rPr>
          <w:rFonts w:ascii="Arial" w:hAnsi="Arial" w:cs="Arial"/>
          <w:sz w:val="20"/>
          <w:szCs w:val="20"/>
        </w:rPr>
        <w:t xml:space="preserve">is hat új elemmel </w:t>
      </w:r>
      <w:r w:rsidRPr="00C36FEE">
        <w:rPr>
          <w:rFonts w:ascii="Arial" w:hAnsi="Arial" w:cs="Arial"/>
          <w:sz w:val="20"/>
          <w:szCs w:val="20"/>
        </w:rPr>
        <w:t>bővítette</w:t>
      </w:r>
      <w:r w:rsidR="00A165D8" w:rsidRPr="00C36FEE">
        <w:rPr>
          <w:rFonts w:ascii="Arial" w:hAnsi="Arial" w:cs="Arial"/>
          <w:sz w:val="20"/>
          <w:szCs w:val="20"/>
        </w:rPr>
        <w:t xml:space="preserve"> (</w:t>
      </w:r>
      <w:r w:rsidR="00A165D8" w:rsidRPr="00C36FEE">
        <w:rPr>
          <w:rFonts w:ascii="Arial" w:hAnsi="Arial" w:cs="Arial"/>
          <w:i/>
          <w:iCs/>
          <w:sz w:val="20"/>
          <w:szCs w:val="20"/>
        </w:rPr>
        <w:t>Perspectives on drugs</w:t>
      </w:r>
      <w:r w:rsidR="00A165D8" w:rsidRPr="00C36FEE">
        <w:rPr>
          <w:rFonts w:ascii="Arial" w:hAnsi="Arial" w:cs="Arial"/>
          <w:sz w:val="20"/>
          <w:szCs w:val="20"/>
        </w:rPr>
        <w:t xml:space="preserve"> – POD).</w:t>
      </w:r>
      <w:r w:rsidR="00A165D8">
        <w:rPr>
          <w:rFonts w:ascii="Arial" w:hAnsi="Arial" w:cs="Arial"/>
          <w:sz w:val="20"/>
          <w:szCs w:val="20"/>
        </w:rPr>
        <w:t xml:space="preserve"> </w:t>
      </w:r>
      <w:r w:rsidRPr="00A165D8">
        <w:rPr>
          <w:rFonts w:ascii="Arial" w:hAnsi="Arial" w:cs="Arial"/>
          <w:sz w:val="20"/>
          <w:szCs w:val="20"/>
        </w:rPr>
        <w:t>Az online, interaktív elemzésekből készült legújabb válogatásból naprakész képet kaphatunk az európai droghelyzet legfontosabb aspektusairól. A kiemelt témák a következőket járják körül: a stimulánsok használatával kapcsolatos, újonnan megjelenő problémák; új fejlemények az európai kannabisz</w:t>
      </w:r>
      <w:r w:rsidR="00D41B83" w:rsidRPr="00A165D8">
        <w:rPr>
          <w:rFonts w:ascii="Arial" w:hAnsi="Arial" w:cs="Arial"/>
          <w:sz w:val="20"/>
          <w:szCs w:val="20"/>
        </w:rPr>
        <w:t xml:space="preserve"> </w:t>
      </w:r>
      <w:r w:rsidRPr="00A165D8">
        <w:rPr>
          <w:rFonts w:ascii="Arial" w:hAnsi="Arial" w:cs="Arial"/>
          <w:sz w:val="20"/>
          <w:szCs w:val="20"/>
        </w:rPr>
        <w:t>piacon; előrelépések az internetalapú kezelésben és a szennyvízelemzésben.</w:t>
      </w:r>
    </w:p>
    <w:p w:rsidR="008D7E5D" w:rsidRPr="005248BF" w:rsidRDefault="008D7E5D" w:rsidP="00A165D8">
      <w:pPr>
        <w:pStyle w:val="newsContent"/>
        <w:jc w:val="left"/>
        <w:rPr>
          <w:rFonts w:cs="Arial"/>
          <w:b/>
        </w:rPr>
      </w:pPr>
      <w:r w:rsidRPr="005248BF">
        <w:rPr>
          <w:rFonts w:cs="Arial"/>
          <w:b/>
        </w:rPr>
        <w:t>Szintetikus katinonok: aggasztó fejlemény az injektálás járványszerű helyi és országos terjedése</w:t>
      </w:r>
    </w:p>
    <w:p w:rsidR="008D7E5D" w:rsidRPr="008E6224" w:rsidRDefault="008D7E5D" w:rsidP="00A165D8">
      <w:pPr>
        <w:pStyle w:val="newsContent"/>
        <w:jc w:val="left"/>
        <w:rPr>
          <w:rFonts w:cs="Arial"/>
        </w:rPr>
      </w:pP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>2005 és 2013 között több mint 50 szintetikus katinon</w:t>
      </w:r>
      <w:r w:rsidR="0009358F">
        <w:rPr>
          <w:rFonts w:ascii="Arial" w:hAnsi="Arial" w:cs="Arial"/>
          <w:sz w:val="20"/>
          <w:szCs w:val="24"/>
        </w:rPr>
        <w:t>-</w:t>
      </w:r>
      <w:r w:rsidRPr="008E6224">
        <w:rPr>
          <w:rFonts w:ascii="Arial" w:hAnsi="Arial" w:cs="Arial"/>
          <w:sz w:val="20"/>
          <w:szCs w:val="24"/>
        </w:rPr>
        <w:t xml:space="preserve">származékot (stimulánst) fedeztek fel az </w:t>
      </w:r>
      <w:r w:rsidRPr="008E6224">
        <w:rPr>
          <w:rFonts w:ascii="Arial" w:hAnsi="Arial" w:cs="Arial"/>
          <w:b/>
          <w:sz w:val="20"/>
          <w:szCs w:val="24"/>
        </w:rPr>
        <w:t>EU korai előrejelző rendszerén</w:t>
      </w:r>
      <w:r w:rsidRPr="008E6224">
        <w:rPr>
          <w:rFonts w:ascii="Arial" w:hAnsi="Arial" w:cs="Arial"/>
          <w:sz w:val="20"/>
          <w:szCs w:val="24"/>
        </w:rPr>
        <w:t xml:space="preserve"> keresztül. A </w:t>
      </w:r>
      <w:r w:rsidR="0009358F">
        <w:rPr>
          <w:rFonts w:ascii="Arial" w:hAnsi="Arial" w:cs="Arial"/>
          <w:sz w:val="20"/>
          <w:szCs w:val="24"/>
        </w:rPr>
        <w:t>K</w:t>
      </w:r>
      <w:r w:rsidRPr="008E6224">
        <w:rPr>
          <w:rFonts w:ascii="Arial" w:hAnsi="Arial" w:cs="Arial"/>
          <w:sz w:val="20"/>
          <w:szCs w:val="24"/>
        </w:rPr>
        <w:t xml:space="preserve">orai </w:t>
      </w:r>
      <w:r w:rsidR="0009358F">
        <w:rPr>
          <w:rFonts w:ascii="Arial" w:hAnsi="Arial" w:cs="Arial"/>
          <w:sz w:val="20"/>
          <w:szCs w:val="24"/>
        </w:rPr>
        <w:t>J</w:t>
      </w:r>
      <w:r w:rsidR="0009358F" w:rsidRPr="008E6224">
        <w:rPr>
          <w:rFonts w:ascii="Arial" w:hAnsi="Arial" w:cs="Arial"/>
          <w:sz w:val="20"/>
          <w:szCs w:val="24"/>
        </w:rPr>
        <w:t>elző</w:t>
      </w:r>
      <w:r w:rsidRPr="008E6224">
        <w:rPr>
          <w:rFonts w:ascii="Arial" w:hAnsi="Arial" w:cs="Arial"/>
          <w:sz w:val="20"/>
          <w:szCs w:val="24"/>
        </w:rPr>
        <w:t xml:space="preserve">rendszerben megfigyelt anyagok közé tartozik a mefedron (2010-ben kérték az EU egész területére kiterjedő ellenőrzési intézkedéseket); az MDPV (a kockázatértékelés 2014. áprilisban készült) és a pentedron. A szintetikus katinonok por alakban szippantással vagy tabletta formában, szájon át fogyaszthatók, az </w:t>
      </w:r>
      <w:r w:rsidRPr="008E6224">
        <w:rPr>
          <w:rFonts w:ascii="Arial" w:hAnsi="Arial" w:cs="Arial"/>
          <w:b/>
          <w:sz w:val="20"/>
          <w:szCs w:val="24"/>
        </w:rPr>
        <w:t>EMCDDA</w:t>
      </w:r>
      <w:r w:rsidRPr="008E6224">
        <w:rPr>
          <w:rFonts w:ascii="Arial" w:hAnsi="Arial" w:cs="Arial"/>
          <w:sz w:val="20"/>
          <w:szCs w:val="24"/>
        </w:rPr>
        <w:t xml:space="preserve"> azonban újabban az ilyen anyagok injekciós használatának járványszerű terjedésére figyelt fel.</w:t>
      </w: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>Bár a katinonok inje</w:t>
      </w:r>
      <w:r w:rsidR="00346E9B">
        <w:rPr>
          <w:rFonts w:ascii="Arial" w:hAnsi="Arial" w:cs="Arial"/>
          <w:sz w:val="20"/>
          <w:szCs w:val="24"/>
        </w:rPr>
        <w:t>ktálása Európában nem elterjedt</w:t>
      </w:r>
      <w:r w:rsidRPr="008E6224">
        <w:rPr>
          <w:rFonts w:ascii="Arial" w:hAnsi="Arial" w:cs="Arial"/>
          <w:sz w:val="20"/>
          <w:szCs w:val="24"/>
        </w:rPr>
        <w:t>, néhány országban helyi jellegű problémaként már érzékelték a nagykockázatú szerhasználók csoportjaiban (pl. </w:t>
      </w:r>
      <w:r w:rsidRPr="008E6224">
        <w:rPr>
          <w:rFonts w:ascii="Arial" w:hAnsi="Arial" w:cs="Arial"/>
          <w:b/>
          <w:sz w:val="20"/>
          <w:szCs w:val="24"/>
        </w:rPr>
        <w:t xml:space="preserve">Csehország, Németország, Írország, Spanyolország, Ausztria, Lengyelország, Finnország, Svédország </w:t>
      </w:r>
      <w:r w:rsidRPr="008E6224">
        <w:rPr>
          <w:rFonts w:ascii="Arial" w:hAnsi="Arial" w:cs="Arial"/>
          <w:sz w:val="20"/>
          <w:szCs w:val="24"/>
        </w:rPr>
        <w:t>és az</w:t>
      </w:r>
      <w:r w:rsidRPr="008E6224">
        <w:rPr>
          <w:rFonts w:ascii="Arial" w:hAnsi="Arial" w:cs="Arial"/>
          <w:b/>
          <w:sz w:val="20"/>
          <w:szCs w:val="24"/>
        </w:rPr>
        <w:t xml:space="preserve"> Egyesült Királyság</w:t>
      </w:r>
      <w:r w:rsidRPr="008E6224">
        <w:rPr>
          <w:rFonts w:ascii="Arial" w:hAnsi="Arial" w:cs="Arial"/>
          <w:sz w:val="20"/>
          <w:szCs w:val="24"/>
        </w:rPr>
        <w:t xml:space="preserve">). </w:t>
      </w:r>
      <w:r w:rsidRPr="008E6224">
        <w:rPr>
          <w:rFonts w:ascii="Arial" w:hAnsi="Arial" w:cs="Arial"/>
          <w:b/>
          <w:sz w:val="20"/>
          <w:szCs w:val="24"/>
        </w:rPr>
        <w:t xml:space="preserve">Magyarországon </w:t>
      </w:r>
      <w:r w:rsidRPr="008E6224">
        <w:rPr>
          <w:rFonts w:ascii="Arial" w:hAnsi="Arial" w:cs="Arial"/>
          <w:sz w:val="20"/>
          <w:szCs w:val="24"/>
        </w:rPr>
        <w:t>és</w:t>
      </w:r>
      <w:r w:rsidRPr="008E6224">
        <w:rPr>
          <w:rFonts w:ascii="Arial" w:hAnsi="Arial" w:cs="Arial"/>
          <w:b/>
          <w:sz w:val="20"/>
          <w:szCs w:val="24"/>
        </w:rPr>
        <w:t xml:space="preserve"> Romániában</w:t>
      </w:r>
      <w:r w:rsidRPr="008E6224">
        <w:rPr>
          <w:rFonts w:ascii="Arial" w:hAnsi="Arial" w:cs="Arial"/>
          <w:sz w:val="20"/>
          <w:szCs w:val="24"/>
        </w:rPr>
        <w:t xml:space="preserve"> viszont a megfigyelések szerint szélesebb körben használt módszer ezeknek az anyagoknak az injektálása. </w:t>
      </w:r>
      <w:r w:rsidRPr="008E6224">
        <w:rPr>
          <w:rFonts w:ascii="Arial" w:hAnsi="Arial" w:cs="Arial"/>
          <w:b/>
          <w:sz w:val="20"/>
          <w:szCs w:val="24"/>
        </w:rPr>
        <w:t>Magyarországon</w:t>
      </w:r>
      <w:r w:rsidRPr="008E6224">
        <w:rPr>
          <w:rFonts w:ascii="Arial" w:hAnsi="Arial" w:cs="Arial"/>
          <w:sz w:val="20"/>
          <w:szCs w:val="24"/>
        </w:rPr>
        <w:t xml:space="preserve"> például a tűcsere programokról készült országos felmérésből az derült ki, hogy 2012-ben a kliensek 36%-a katinonokat injektált elsődleges szerként.</w:t>
      </w: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 xml:space="preserve">Egyre aggályosabb méreteket ölt az a más férfiakkal szexuális kapcsolatot létesítő férfiak egyes csoportjaiban tapasztalt magatartásforma, hogy az úgynevezett „chem sex” partikon többféle tiltott kábítószert (pl. katinonokat és metamfetamint) injektálnak egyidejűleg. Erről a kockázatos szexuális magatartással együtt járó új módszerről eddig néhány nagyvárosból érkeztek jelentések. Tekintettel arra, hogy a katinonok injektálásának újonnan megjelenő mintái milyen potenciális hatással járhatnak, a kérdés szoros megfigyelése </w:t>
      </w:r>
      <w:r w:rsidR="0009358F">
        <w:rPr>
          <w:rFonts w:ascii="Arial" w:hAnsi="Arial" w:cs="Arial"/>
          <w:sz w:val="20"/>
          <w:szCs w:val="24"/>
        </w:rPr>
        <w:t>nép</w:t>
      </w:r>
      <w:r w:rsidR="0009358F" w:rsidRPr="008E6224">
        <w:rPr>
          <w:rFonts w:ascii="Arial" w:hAnsi="Arial" w:cs="Arial"/>
          <w:sz w:val="20"/>
          <w:szCs w:val="24"/>
        </w:rPr>
        <w:t xml:space="preserve">egészségügyi </w:t>
      </w:r>
      <w:r w:rsidRPr="008E6224">
        <w:rPr>
          <w:rFonts w:ascii="Arial" w:hAnsi="Arial" w:cs="Arial"/>
          <w:sz w:val="20"/>
          <w:szCs w:val="24"/>
        </w:rPr>
        <w:t>prioritás.</w:t>
      </w:r>
    </w:p>
    <w:p w:rsidR="008D7E5D" w:rsidRPr="008E6224" w:rsidRDefault="008D7E5D" w:rsidP="00A165D8">
      <w:pPr>
        <w:spacing w:line="280" w:lineRule="auto"/>
        <w:rPr>
          <w:rFonts w:ascii="Arial" w:hAnsi="Arial" w:cs="Arial"/>
          <w:b/>
          <w:sz w:val="20"/>
          <w:szCs w:val="24"/>
        </w:rPr>
      </w:pPr>
      <w:r w:rsidRPr="008E6224">
        <w:rPr>
          <w:rFonts w:ascii="Arial" w:hAnsi="Arial" w:cs="Arial"/>
          <w:b/>
          <w:sz w:val="20"/>
          <w:szCs w:val="24"/>
        </w:rPr>
        <w:t>Metamfetamin: az új, sokszínű használati minták megjelenése egyre nagyobb aggodalomra ad okot</w:t>
      </w:r>
    </w:p>
    <w:p w:rsidR="006C6DC1" w:rsidRDefault="008D7E5D" w:rsidP="00A165D8">
      <w:pPr>
        <w:spacing w:after="260" w:line="260" w:lineRule="exact"/>
        <w:ind w:right="-2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 xml:space="preserve">A metamfetamin a világ számos részén (pl. Délkelet-Ázsia, az USA) általánosan használt stimuláns kábítószernek számít, és ezeken a területeken régóta komoly </w:t>
      </w:r>
      <w:r w:rsidR="0009358F">
        <w:rPr>
          <w:rFonts w:ascii="Arial" w:hAnsi="Arial" w:cs="Arial"/>
          <w:sz w:val="20"/>
          <w:szCs w:val="24"/>
        </w:rPr>
        <w:t>nép</w:t>
      </w:r>
      <w:r w:rsidR="0009358F" w:rsidRPr="008E6224">
        <w:rPr>
          <w:rFonts w:ascii="Arial" w:hAnsi="Arial" w:cs="Arial"/>
          <w:sz w:val="20"/>
          <w:szCs w:val="24"/>
        </w:rPr>
        <w:t xml:space="preserve">egészségügyi </w:t>
      </w:r>
      <w:r w:rsidRPr="008E6224">
        <w:rPr>
          <w:rFonts w:ascii="Arial" w:hAnsi="Arial" w:cs="Arial"/>
          <w:sz w:val="20"/>
          <w:szCs w:val="24"/>
        </w:rPr>
        <w:t xml:space="preserve">problémákat okoz. </w:t>
      </w:r>
      <w:r w:rsidR="00A165D8">
        <w:rPr>
          <w:rFonts w:ascii="Arial" w:hAnsi="Arial" w:cs="Arial"/>
          <w:sz w:val="20"/>
          <w:szCs w:val="24"/>
        </w:rPr>
        <w:t xml:space="preserve">          </w:t>
      </w:r>
      <w:r w:rsidRPr="008E6224">
        <w:rPr>
          <w:rFonts w:ascii="Arial" w:hAnsi="Arial" w:cs="Arial"/>
          <w:sz w:val="20"/>
          <w:szCs w:val="24"/>
        </w:rPr>
        <w:t xml:space="preserve">Bár a metamfetamin használata Európán belül eddig hagyományosan </w:t>
      </w:r>
      <w:r w:rsidRPr="008E6224">
        <w:rPr>
          <w:rFonts w:ascii="Arial" w:hAnsi="Arial" w:cs="Arial"/>
          <w:b/>
          <w:sz w:val="20"/>
          <w:szCs w:val="24"/>
        </w:rPr>
        <w:t xml:space="preserve">Csehországra </w:t>
      </w:r>
      <w:r w:rsidRPr="008E6224">
        <w:rPr>
          <w:rFonts w:ascii="Arial" w:hAnsi="Arial" w:cs="Arial"/>
          <w:sz w:val="20"/>
          <w:szCs w:val="24"/>
        </w:rPr>
        <w:t xml:space="preserve">és </w:t>
      </w:r>
      <w:r w:rsidRPr="008E6224">
        <w:rPr>
          <w:rFonts w:ascii="Arial" w:hAnsi="Arial" w:cs="Arial"/>
          <w:b/>
          <w:sz w:val="20"/>
          <w:szCs w:val="24"/>
        </w:rPr>
        <w:t>Szlovákiára</w:t>
      </w:r>
      <w:r w:rsidRPr="008E6224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lastRenderedPageBreak/>
        <w:t xml:space="preserve">korlátozódott, mára máshol, különféle populációkban is új használati gócok és minták kezdtek megjelenni. A példák közé tartozik a metamfetamin (por) </w:t>
      </w:r>
      <w:r w:rsidRPr="008E6224">
        <w:rPr>
          <w:rFonts w:ascii="Arial" w:hAnsi="Arial" w:cs="Arial"/>
          <w:i/>
          <w:sz w:val="20"/>
          <w:szCs w:val="24"/>
        </w:rPr>
        <w:t>szippantása</w:t>
      </w:r>
      <w:r w:rsidRPr="008E6224">
        <w:rPr>
          <w:rFonts w:ascii="Arial" w:hAnsi="Arial" w:cs="Arial"/>
          <w:sz w:val="20"/>
          <w:szCs w:val="24"/>
        </w:rPr>
        <w:t xml:space="preserve"> a </w:t>
      </w:r>
      <w:r w:rsidRPr="008E6224">
        <w:rPr>
          <w:rFonts w:ascii="Arial" w:hAnsi="Arial" w:cs="Arial"/>
          <w:b/>
          <w:sz w:val="20"/>
          <w:szCs w:val="24"/>
        </w:rPr>
        <w:t>németországi</w:t>
      </w:r>
      <w:r w:rsidRPr="008E6224">
        <w:rPr>
          <w:rFonts w:ascii="Arial" w:hAnsi="Arial" w:cs="Arial"/>
          <w:sz w:val="20"/>
          <w:szCs w:val="24"/>
        </w:rPr>
        <w:t xml:space="preserve"> rekreációs szerhasználók körében; a „kristályos met” </w:t>
      </w:r>
      <w:r w:rsidRPr="008E6224">
        <w:rPr>
          <w:rFonts w:ascii="Arial" w:hAnsi="Arial" w:cs="Arial"/>
          <w:i/>
          <w:sz w:val="20"/>
          <w:szCs w:val="24"/>
        </w:rPr>
        <w:t xml:space="preserve">elszívása </w:t>
      </w:r>
      <w:r w:rsidRPr="008E6224">
        <w:rPr>
          <w:rFonts w:ascii="Arial" w:hAnsi="Arial" w:cs="Arial"/>
          <w:sz w:val="20"/>
          <w:szCs w:val="24"/>
        </w:rPr>
        <w:t xml:space="preserve">a </w:t>
      </w:r>
      <w:r w:rsidRPr="008E6224">
        <w:rPr>
          <w:rFonts w:ascii="Arial" w:hAnsi="Arial" w:cs="Arial"/>
          <w:b/>
          <w:sz w:val="20"/>
          <w:szCs w:val="24"/>
        </w:rPr>
        <w:t>Görögországban, Cipruson</w:t>
      </w:r>
      <w:r w:rsidRPr="008E6224">
        <w:rPr>
          <w:rFonts w:ascii="Arial" w:hAnsi="Arial" w:cs="Arial"/>
          <w:sz w:val="20"/>
          <w:szCs w:val="24"/>
        </w:rPr>
        <w:t xml:space="preserve"> és </w:t>
      </w:r>
      <w:r w:rsidRPr="008E6224">
        <w:rPr>
          <w:rFonts w:ascii="Arial" w:hAnsi="Arial" w:cs="Arial"/>
          <w:b/>
          <w:sz w:val="20"/>
          <w:szCs w:val="24"/>
        </w:rPr>
        <w:t xml:space="preserve">Törökországban </w:t>
      </w:r>
      <w:r w:rsidRPr="008E6224">
        <w:rPr>
          <w:rFonts w:ascii="Arial" w:hAnsi="Arial" w:cs="Arial"/>
          <w:sz w:val="20"/>
          <w:szCs w:val="24"/>
        </w:rPr>
        <w:t>élő intravénás opioid</w:t>
      </w:r>
      <w:r w:rsidR="00BD43E2">
        <w:rPr>
          <w:rFonts w:ascii="Arial" w:hAnsi="Arial" w:cs="Arial"/>
          <w:sz w:val="20"/>
          <w:szCs w:val="24"/>
        </w:rPr>
        <w:t>-</w:t>
      </w:r>
      <w:r w:rsidRPr="008E6224">
        <w:rPr>
          <w:rFonts w:ascii="Arial" w:hAnsi="Arial" w:cs="Arial"/>
          <w:sz w:val="20"/>
          <w:szCs w:val="24"/>
        </w:rPr>
        <w:t xml:space="preserve">használóknál; illetve a kábítószer más anyagokkal együtt történő </w:t>
      </w:r>
      <w:r w:rsidRPr="008E6224">
        <w:rPr>
          <w:rFonts w:ascii="Arial" w:hAnsi="Arial" w:cs="Arial"/>
          <w:i/>
          <w:sz w:val="20"/>
          <w:szCs w:val="24"/>
        </w:rPr>
        <w:t xml:space="preserve">injektálása </w:t>
      </w:r>
      <w:r w:rsidRPr="008E6224">
        <w:rPr>
          <w:rFonts w:ascii="Arial" w:hAnsi="Arial" w:cs="Arial"/>
          <w:sz w:val="20"/>
          <w:szCs w:val="24"/>
        </w:rPr>
        <w:t xml:space="preserve">a más férfiakkal szexuális kapcsolatot létesítő férfiak körében (lásd fent). </w:t>
      </w: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 xml:space="preserve">Az </w:t>
      </w:r>
      <w:r w:rsidRPr="008E6224">
        <w:rPr>
          <w:rFonts w:ascii="Arial" w:hAnsi="Arial" w:cs="Arial"/>
          <w:b/>
          <w:sz w:val="20"/>
          <w:szCs w:val="24"/>
        </w:rPr>
        <w:t>EMCDDA</w:t>
      </w:r>
      <w:r w:rsidRPr="008E6224">
        <w:rPr>
          <w:rFonts w:ascii="Arial" w:hAnsi="Arial" w:cs="Arial"/>
          <w:sz w:val="20"/>
          <w:szCs w:val="24"/>
        </w:rPr>
        <w:t xml:space="preserve"> az új elemzésben azt vizsgálja, hogy milyen kihívásokba ütköznek ma az ehhez a kábítószerhez kapcsolódó egészségügyi és szociális válaszlépések. Bár a metamfetamin</w:t>
      </w:r>
      <w:r w:rsidR="00BD43E2">
        <w:rPr>
          <w:rFonts w:ascii="Arial" w:hAnsi="Arial" w:cs="Arial"/>
          <w:sz w:val="20"/>
          <w:szCs w:val="24"/>
        </w:rPr>
        <w:t>-</w:t>
      </w:r>
      <w:r w:rsidRPr="008E6224">
        <w:rPr>
          <w:rFonts w:ascii="Arial" w:hAnsi="Arial" w:cs="Arial"/>
          <w:sz w:val="20"/>
          <w:szCs w:val="24"/>
        </w:rPr>
        <w:t>függőség kezelésére nincsenek elfogadott gyógyszerek, a pszichoszociális beavatkozások bizonyítottan hatékonyak. Az ügynökség szerint: „A jelenlegi metamfetamin</w:t>
      </w:r>
      <w:r w:rsidR="00BD43E2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probléma Európán belül egyáltalán nem egységes, ezért a megfelelő válaszlépéseket át kell alakítani, tovább kell fejleszteni, a helyi használati mintákhoz és az észlelt problémákhoz kell igazítani.”</w:t>
      </w:r>
    </w:p>
    <w:p w:rsidR="008D7E5D" w:rsidRPr="008E6224" w:rsidRDefault="008D7E5D" w:rsidP="00A165D8">
      <w:pPr>
        <w:spacing w:line="280" w:lineRule="auto"/>
        <w:rPr>
          <w:rFonts w:ascii="Arial" w:hAnsi="Arial" w:cs="Arial"/>
          <w:b/>
          <w:sz w:val="20"/>
          <w:szCs w:val="24"/>
        </w:rPr>
      </w:pPr>
      <w:r w:rsidRPr="008E6224">
        <w:rPr>
          <w:rFonts w:ascii="Arial" w:hAnsi="Arial" w:cs="Arial"/>
          <w:b/>
          <w:sz w:val="20"/>
          <w:szCs w:val="24"/>
        </w:rPr>
        <w:t>Áttekintés a kokainfüggőség gyógyszeres kezelésében elért előrehaladásról</w:t>
      </w: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 xml:space="preserve">A kokain változatlanul a legáltalánosabban használt tiltott stimuláns Európában, a kokainfüggőség kezelésében pedig továbbra is vannak nehézségek. Európában 2012-ben a kezelésre jelentkező kábítószer-használó kliensek 14%-a nevezte meg elsődleges szernek a kokaint. Az </w:t>
      </w:r>
      <w:r w:rsidRPr="008E6224">
        <w:rPr>
          <w:rFonts w:ascii="Arial" w:hAnsi="Arial" w:cs="Arial"/>
          <w:b/>
          <w:sz w:val="20"/>
          <w:szCs w:val="24"/>
        </w:rPr>
        <w:t>EMCDDA</w:t>
      </w:r>
      <w:r w:rsidRPr="008E6224">
        <w:rPr>
          <w:rFonts w:ascii="Arial" w:hAnsi="Arial" w:cs="Arial"/>
          <w:sz w:val="20"/>
          <w:szCs w:val="24"/>
        </w:rPr>
        <w:t xml:space="preserve"> ma </w:t>
      </w:r>
      <w:r w:rsidR="007D2128">
        <w:rPr>
          <w:rFonts w:ascii="Arial" w:hAnsi="Arial" w:cs="Arial"/>
          <w:sz w:val="20"/>
          <w:szCs w:val="24"/>
        </w:rPr>
        <w:t>meta analízist</w:t>
      </w:r>
      <w:r w:rsidR="007D2128" w:rsidRPr="008E6224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 xml:space="preserve">mutat be hat olyan tanulmányról, amelyek a kokainproblémák kezelésére használt gyógyszerek hatékonyságát és szerhasználók általi elfogadottságát vizsgálták. A </w:t>
      </w:r>
      <w:r w:rsidRPr="00A165D8">
        <w:rPr>
          <w:rFonts w:ascii="Arial" w:hAnsi="Arial" w:cs="Arial"/>
          <w:i/>
          <w:sz w:val="20"/>
          <w:szCs w:val="24"/>
        </w:rPr>
        <w:t>Cochrane Drugs and Alcohol</w:t>
      </w:r>
      <w:r w:rsidRPr="008E6224">
        <w:rPr>
          <w:rFonts w:ascii="Arial" w:hAnsi="Arial" w:cs="Arial"/>
          <w:sz w:val="20"/>
          <w:szCs w:val="24"/>
        </w:rPr>
        <w:t xml:space="preserve"> </w:t>
      </w:r>
      <w:r w:rsidR="00A165D8" w:rsidRPr="00A165D8">
        <w:rPr>
          <w:rFonts w:ascii="Arial" w:hAnsi="Arial" w:cs="Arial"/>
          <w:i/>
          <w:sz w:val="20"/>
          <w:szCs w:val="24"/>
        </w:rPr>
        <w:t xml:space="preserve">Group </w:t>
      </w:r>
      <w:r w:rsidRPr="008E6224">
        <w:rPr>
          <w:rFonts w:ascii="Arial" w:hAnsi="Arial" w:cs="Arial"/>
          <w:sz w:val="20"/>
          <w:szCs w:val="24"/>
        </w:rPr>
        <w:t xml:space="preserve">nevű szervezet által készített eredeti tanulmányokban 92 vizsgálat szerepelt (ebből 85 az USA-ban készült), több mint 7 000 résztvevővel. Ezek azt mutatják, hogy a gyógyszerek némelyike képes csökkenteni a szerhasználók sóvárgását, de a kokainfüggőségre egyelőre még nem sikerült megtalálni az egyedüli gyógyszeres megoldást. Mivel ezen a területen folyamatosan halad előre a kutatás, a pszichoszociális beavatkozások továbbra is alapvető elemnek számítanak a kokainfüggők kezelésében (lásd a videót). </w:t>
      </w:r>
    </w:p>
    <w:p w:rsidR="008D7E5D" w:rsidRPr="008E6224" w:rsidRDefault="008D7E5D" w:rsidP="00A16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8E6224">
        <w:rPr>
          <w:rFonts w:ascii="Arial" w:hAnsi="Arial" w:cs="Arial"/>
          <w:b/>
          <w:sz w:val="20"/>
          <w:szCs w:val="24"/>
        </w:rPr>
        <w:t>A belföldi kannabisz</w:t>
      </w:r>
      <w:r w:rsidR="007D2128">
        <w:rPr>
          <w:rFonts w:ascii="Arial" w:hAnsi="Arial" w:cs="Arial"/>
          <w:b/>
          <w:sz w:val="20"/>
          <w:szCs w:val="24"/>
        </w:rPr>
        <w:t xml:space="preserve"> </w:t>
      </w:r>
      <w:r w:rsidRPr="008E6224">
        <w:rPr>
          <w:rFonts w:ascii="Arial" w:hAnsi="Arial" w:cs="Arial"/>
          <w:b/>
          <w:sz w:val="20"/>
          <w:szCs w:val="24"/>
        </w:rPr>
        <w:t xml:space="preserve">termelés fontos kínálati forrás – az importált hasis egyre erősebb </w:t>
      </w:r>
    </w:p>
    <w:p w:rsidR="008D7E5D" w:rsidRPr="008E6224" w:rsidRDefault="008D7E5D" w:rsidP="00A16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8D7E5D" w:rsidRPr="008E6224" w:rsidRDefault="008D7E5D" w:rsidP="00A165D8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 xml:space="preserve">Európa a kannabisz, különösen a főként </w:t>
      </w:r>
      <w:r w:rsidRPr="008E6224">
        <w:rPr>
          <w:rFonts w:ascii="Arial" w:hAnsi="Arial" w:cs="Arial"/>
          <w:b/>
          <w:sz w:val="20"/>
          <w:szCs w:val="24"/>
        </w:rPr>
        <w:t xml:space="preserve">Marokkóból </w:t>
      </w:r>
      <w:r w:rsidRPr="008E6224">
        <w:rPr>
          <w:rFonts w:ascii="Arial" w:hAnsi="Arial" w:cs="Arial"/>
          <w:sz w:val="20"/>
          <w:szCs w:val="24"/>
        </w:rPr>
        <w:t>importált hasis szempontjából régóta a világ egyik legnagyobb fogyasztói piacának számít. A becslések szerint Európában évente nagyjából 2 050 tonna hasist és kannabiszt (marihuána) fogyasztanak el. Az</w:t>
      </w:r>
      <w:r w:rsidRPr="008E6224">
        <w:rPr>
          <w:rFonts w:ascii="Arial" w:hAnsi="Arial" w:cs="Arial"/>
          <w:b/>
          <w:sz w:val="20"/>
          <w:szCs w:val="24"/>
        </w:rPr>
        <w:t xml:space="preserve"> EMCDDA </w:t>
      </w:r>
      <w:r w:rsidRPr="008E6224">
        <w:rPr>
          <w:rFonts w:ascii="Arial" w:hAnsi="Arial" w:cs="Arial"/>
          <w:sz w:val="20"/>
          <w:szCs w:val="24"/>
        </w:rPr>
        <w:t>ma arról számol be, hogy a kannabisz európai fogyasztói piacát most már a növényi termékek uralják, és a belföldi kannabisz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termelés látja el a belföldi használatot. Európa-szerte egyre gyakrabban találunk kannabisz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ültetvényeket.</w:t>
      </w:r>
    </w:p>
    <w:p w:rsidR="008D7E5D" w:rsidRPr="008E6224" w:rsidRDefault="008D7E5D" w:rsidP="00A165D8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/>
          <w:szCs w:val="24"/>
        </w:rPr>
      </w:pPr>
      <w:r w:rsidRPr="008E6224">
        <w:rPr>
          <w:rFonts w:ascii="Arial" w:hAnsi="Arial" w:cs="Arial"/>
          <w:sz w:val="20"/>
          <w:szCs w:val="24"/>
        </w:rPr>
        <w:t>Az európai kannabisz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lefoglalások száma az elmúlt évtizedben megelőzte a hasis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lefoglalások számát. 2012-ben mintegy 457 000 kannabisz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lefoglalásról érkezett jelentés, szemben a 258 000 hasis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lefoglalással. Kannabisz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növényből 2012-ben körülbelül hétmilliót foglaltak le, ami az öt évvel korábban bejelentett mennyiségnek több mint 2,5-szerese. Aggodalomra adnak okot a kannabisz</w:t>
      </w:r>
      <w:r w:rsidR="007D212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>terme</w:t>
      </w:r>
      <w:r w:rsidR="007D2128">
        <w:rPr>
          <w:rFonts w:ascii="Arial" w:hAnsi="Arial" w:cs="Arial"/>
          <w:sz w:val="20"/>
          <w:szCs w:val="24"/>
        </w:rPr>
        <w:t>sztésben</w:t>
      </w:r>
      <w:r w:rsidRPr="008E6224">
        <w:rPr>
          <w:rFonts w:ascii="Arial" w:hAnsi="Arial" w:cs="Arial"/>
          <w:sz w:val="20"/>
          <w:szCs w:val="24"/>
        </w:rPr>
        <w:t xml:space="preserve"> </w:t>
      </w:r>
      <w:r w:rsidR="00A165D8">
        <w:rPr>
          <w:rFonts w:ascii="Arial" w:hAnsi="Arial" w:cs="Arial"/>
          <w:sz w:val="20"/>
          <w:szCs w:val="24"/>
        </w:rPr>
        <w:t xml:space="preserve"> </w:t>
      </w:r>
      <w:r w:rsidRPr="008E6224">
        <w:rPr>
          <w:rFonts w:ascii="Arial" w:hAnsi="Arial" w:cs="Arial"/>
          <w:sz w:val="20"/>
          <w:szCs w:val="24"/>
        </w:rPr>
        <w:t xml:space="preserve">az utóbbi években látott innovációk (lásd a videót), mivel a termesztők újabban magas THC-tartalmú </w:t>
      </w:r>
      <w:r w:rsidR="00A165D8">
        <w:rPr>
          <w:rFonts w:ascii="Arial" w:hAnsi="Arial" w:cs="Arial"/>
          <w:sz w:val="20"/>
          <w:szCs w:val="24"/>
        </w:rPr>
        <w:t xml:space="preserve">        </w:t>
      </w:r>
      <w:r w:rsidRPr="008E6224">
        <w:rPr>
          <w:rFonts w:ascii="Arial" w:hAnsi="Arial" w:cs="Arial"/>
          <w:sz w:val="20"/>
          <w:szCs w:val="24"/>
        </w:rPr>
        <w:t>(a kannabisz hatóanyaga), de alacsony CBD-tartalmú (antipszichotikum) növényeket termesztenek. Miközben a kannabisz mindkét formájának erőssége nőtt 2006 óta, a hasis erősségében viszonylag hirtelen emelkedést lehetett megfigyelni 2011 és 2012 között (lásd a kannabiszról szóló infografikát, Európai kábítószer</w:t>
      </w:r>
      <w:r w:rsidR="007D2128">
        <w:rPr>
          <w:rFonts w:ascii="Arial" w:hAnsi="Arial" w:cs="Arial"/>
          <w:sz w:val="20"/>
          <w:szCs w:val="24"/>
        </w:rPr>
        <w:t>-</w:t>
      </w:r>
      <w:r w:rsidRPr="008E6224">
        <w:rPr>
          <w:rFonts w:ascii="Arial" w:hAnsi="Arial" w:cs="Arial"/>
          <w:sz w:val="20"/>
          <w:szCs w:val="24"/>
        </w:rPr>
        <w:t>jelentés, 1. fejezet).</w:t>
      </w:r>
      <w:r w:rsidRPr="008E6224">
        <w:rPr>
          <w:rFonts w:ascii="Arial" w:hAnsi="Arial" w:cs="Arial"/>
          <w:sz w:val="20"/>
          <w:szCs w:val="24"/>
          <w:u w:val="single"/>
        </w:rPr>
        <w:t xml:space="preserve"> </w:t>
      </w:r>
    </w:p>
    <w:p w:rsidR="008D7E5D" w:rsidRPr="008E6224" w:rsidRDefault="008D7E5D" w:rsidP="00A165D8">
      <w:pPr>
        <w:spacing w:after="0" w:line="240" w:lineRule="auto"/>
        <w:rPr>
          <w:rFonts w:ascii="Arial" w:hAnsi="Arial" w:cs="Arial"/>
          <w:szCs w:val="24"/>
        </w:rPr>
      </w:pPr>
      <w:r w:rsidRPr="008E6224">
        <w:rPr>
          <w:rFonts w:ascii="Arial" w:hAnsi="Arial" w:cs="Arial"/>
          <w:b/>
          <w:sz w:val="20"/>
          <w:szCs w:val="24"/>
        </w:rPr>
        <w:t>A kábítószer-használók internetalapú kezelése új módszereket kínál a szerhasználók bevonására</w:t>
      </w:r>
      <w:r w:rsidRPr="008E6224">
        <w:rPr>
          <w:rFonts w:ascii="Arial" w:hAnsi="Arial" w:cs="Arial"/>
          <w:sz w:val="20"/>
          <w:szCs w:val="24"/>
        </w:rPr>
        <w:t xml:space="preserve"> </w:t>
      </w:r>
    </w:p>
    <w:p w:rsidR="008D7E5D" w:rsidRPr="008E6224" w:rsidRDefault="008D7E5D" w:rsidP="00A165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sz w:val="20"/>
          <w:szCs w:val="24"/>
        </w:rPr>
        <w:t xml:space="preserve">Az internet mára a különféle formákban szervezett, kábítószerrel és alkohollal foglalkozó felvilágosító, prevenciós és kezelési programok elfogadott eszköze lett. Az </w:t>
      </w:r>
      <w:r w:rsidRPr="008E6224">
        <w:rPr>
          <w:rFonts w:ascii="Arial" w:hAnsi="Arial" w:cs="Arial"/>
          <w:b/>
          <w:sz w:val="20"/>
          <w:szCs w:val="24"/>
        </w:rPr>
        <w:t>EMCDDA</w:t>
      </w:r>
      <w:r w:rsidRPr="008E6224">
        <w:rPr>
          <w:rFonts w:ascii="Arial" w:hAnsi="Arial" w:cs="Arial"/>
          <w:sz w:val="20"/>
          <w:szCs w:val="24"/>
        </w:rPr>
        <w:t xml:space="preserve"> most térképezi fel az Európában az utóbbi 10 évben elterjedt internetalapú kezelésben történt fejleményeket, amelyek főként a kannabisz</w:t>
      </w:r>
      <w:r w:rsidR="007D2128">
        <w:rPr>
          <w:rFonts w:ascii="Arial" w:hAnsi="Arial" w:cs="Arial"/>
          <w:sz w:val="20"/>
          <w:szCs w:val="24"/>
        </w:rPr>
        <w:t>-</w:t>
      </w:r>
      <w:r w:rsidRPr="008E6224">
        <w:rPr>
          <w:rFonts w:ascii="Arial" w:hAnsi="Arial" w:cs="Arial"/>
          <w:sz w:val="20"/>
          <w:szCs w:val="24"/>
        </w:rPr>
        <w:t xml:space="preserve">használathoz kapcsolódnak. A kábítószer-használók internetalapú kezelése a már kipróbált pszichoszociális technikákat veszi alapul, és ezeket építi be egy új, webalapú szolgáltatási rendszerbe. Bár az adatvédelem és az anonimitás fontos kérdés, és ezekkel még foglalkozni kell, az ebből a szolgáltatástípusból származó lehetséges előnyök közé tartozhat a nagyobb földrajzi hatókör, a speciális szolgálatok számára elérhetetlen szerhasználók megszólítása és a közvetlenebb segítségnyújtás (nincs </w:t>
      </w:r>
      <w:r w:rsidRPr="008E6224">
        <w:rPr>
          <w:rFonts w:ascii="Arial" w:hAnsi="Arial" w:cs="Arial"/>
          <w:sz w:val="20"/>
          <w:szCs w:val="24"/>
        </w:rPr>
        <w:lastRenderedPageBreak/>
        <w:t xml:space="preserve">várakozási idő). A kábítószer-használók internetalapú kezelési programjainak továbbfejlesztésével azok a hagyományos kezelési szolgáltatások hasznos kiegészítőivé válhatnak, és új utat kínálnak a segítségre szoruló szerhasználók bevonására (lásd a videót). </w:t>
      </w:r>
    </w:p>
    <w:p w:rsidR="008D7E5D" w:rsidRPr="008E6224" w:rsidRDefault="008D7E5D" w:rsidP="00A165D8">
      <w:pPr>
        <w:spacing w:after="260" w:line="260" w:lineRule="exact"/>
        <w:rPr>
          <w:rFonts w:ascii="Arial" w:hAnsi="Arial" w:cs="Arial"/>
          <w:szCs w:val="24"/>
        </w:rPr>
      </w:pPr>
      <w:r w:rsidRPr="008E6224">
        <w:rPr>
          <w:rFonts w:ascii="Arial" w:hAnsi="Arial" w:cs="Arial"/>
          <w:b/>
          <w:sz w:val="20"/>
          <w:szCs w:val="24"/>
        </w:rPr>
        <w:t xml:space="preserve">Ma megjelenik az eddigi legnagyobb, több városra kiterjedő tanulmány a szennyvízből kimutatható kábítószerekről </w:t>
      </w:r>
    </w:p>
    <w:p w:rsidR="008D7E5D" w:rsidRPr="008E6224" w:rsidRDefault="008D7E5D" w:rsidP="00A165D8">
      <w:pPr>
        <w:pStyle w:val="CommentText"/>
        <w:spacing w:after="0" w:line="260" w:lineRule="exact"/>
        <w:rPr>
          <w:rFonts w:ascii="Arial" w:hAnsi="Arial" w:cs="Arial"/>
          <w:szCs w:val="24"/>
          <w:lang w:val="hu-HU"/>
        </w:rPr>
      </w:pPr>
      <w:r w:rsidRPr="008E6224">
        <w:rPr>
          <w:rFonts w:ascii="Arial" w:hAnsi="Arial" w:cs="Arial"/>
          <w:szCs w:val="24"/>
          <w:lang w:val="hu-HU"/>
        </w:rPr>
        <w:t xml:space="preserve">Ugyancsak ma hozzák nyilvánosságra a szennyvízelemzés feltörekvő tudományterületén készült eddigi legnagyobb európai projekt eredményeit. A projekt keretében több mint 40 város (21 ország) szennyvizét elemezték, hogy fényt derítsenek a város lakosságának kábítószer-fogyasztási szokásaira. A következtetéseket az </w:t>
      </w:r>
      <w:r w:rsidRPr="00A165D8">
        <w:rPr>
          <w:rFonts w:ascii="Arial" w:hAnsi="Arial" w:cs="Arial"/>
          <w:b/>
          <w:szCs w:val="24"/>
          <w:lang w:val="hu-HU"/>
        </w:rPr>
        <w:t xml:space="preserve">EMCDDA </w:t>
      </w:r>
      <w:r w:rsidRPr="008E6224">
        <w:rPr>
          <w:rFonts w:ascii="Arial" w:hAnsi="Arial" w:cs="Arial"/>
          <w:szCs w:val="24"/>
          <w:lang w:val="hu-HU"/>
        </w:rPr>
        <w:t>a kérdésnek szentelt külön Kábítószerügyi kiemelt témában mutatja be. Körülbelül 8 millió embertől származó szennyvizet elemeztek öt tiltott kábítószer – amfetamin, kannabisz, kokain, ecstasy és metamfetamin – nyomait keresve (2014/5. sajtóközlemény).</w:t>
      </w:r>
    </w:p>
    <w:p w:rsidR="008D7E5D" w:rsidRPr="008E6224" w:rsidRDefault="008D7E5D" w:rsidP="00A165D8">
      <w:pPr>
        <w:pStyle w:val="newsContent"/>
        <w:jc w:val="left"/>
        <w:rPr>
          <w:rFonts w:cs="Arial"/>
        </w:rPr>
      </w:pPr>
    </w:p>
    <w:p w:rsidR="008D7E5D" w:rsidRPr="008E6224" w:rsidRDefault="008D7E5D" w:rsidP="00A165D8">
      <w:pPr>
        <w:pStyle w:val="newsContent"/>
        <w:jc w:val="left"/>
        <w:rPr>
          <w:rFonts w:cs="Arial"/>
        </w:rPr>
      </w:pPr>
      <w:r w:rsidRPr="008E6224">
        <w:rPr>
          <w:rFonts w:cs="Arial"/>
        </w:rPr>
        <w:t>Az eredményekből értékes pillanatképet kapunk az érintett városokon átáramló kábítószerekről, és határozott regionális különbségeket figyelhetünk meg a kábítószer-használati mintákban. A kokain nyomai például nagyobb arányban voltak jelen a nyugati és egyes déli városokban, viszont alacsonyabb mennyiségben mutatkoztak az északi és keleti városokban. Az amfetamin használata ugyan viszonylag egyenletes megoszlást mutat, de Európa északi és északnyugati részén érte el a legmagasabb szinteket. A metamfetamin használata általában alacsony szintű, és hagyományosan Közép-Európára korlátozódik, most azonban terjedni látszik. A kábítószer-használat heti mintázatait vizsgálva pedig jól megfigyelhető, hogy a legtöbb városban hétvégenként meredeken megemelkedik a kokain és az ecstasy szintje, a metamfetamin és a kannabisz ezzel szemben egyenletesebben oszlik el a hét folyamán.</w:t>
      </w:r>
    </w:p>
    <w:p w:rsidR="008D7E5D" w:rsidRPr="008E6224" w:rsidRDefault="008D7E5D" w:rsidP="00A165D8">
      <w:pPr>
        <w:spacing w:before="100" w:beforeAutospacing="1" w:line="280" w:lineRule="auto"/>
        <w:rPr>
          <w:rFonts w:ascii="Arial" w:hAnsi="Arial" w:cs="Arial"/>
        </w:rPr>
      </w:pPr>
      <w:r w:rsidRPr="008E6224">
        <w:rPr>
          <w:rFonts w:ascii="Arial" w:hAnsi="Arial" w:cs="Arial"/>
          <w:b/>
          <w:sz w:val="20"/>
          <w:szCs w:val="24"/>
        </w:rPr>
        <w:t>Az EMCDDA igazgatóságának elnöke, João Goulão</w:t>
      </w:r>
      <w:r w:rsidRPr="008E6224">
        <w:rPr>
          <w:rFonts w:ascii="Arial" w:hAnsi="Arial" w:cs="Arial"/>
          <w:sz w:val="20"/>
          <w:szCs w:val="24"/>
        </w:rPr>
        <w:t xml:space="preserve"> így nyilatkozott: „Az EMCDDA a stimulánsok és más kábítószerek terén az idén számos új problémára hívja fel a figyelmet. Az ügynökség most különösen a kokain, metamfetamin és kannabisz használatával összefüggő problémák kezeléséhez alapul szolgáló új, egyre bővülő tényanyagot vizsgálja. Közös elem e téren a pszichoszociális beavatkozások fontossága, amelyek a kortárs drogproblémák megválaszolásához használt terápiás eszközkészletünk értékes rész</w:t>
      </w:r>
      <w:bookmarkStart w:id="0" w:name="_GoBack"/>
      <w:bookmarkEnd w:id="0"/>
      <w:r w:rsidRPr="008E6224">
        <w:rPr>
          <w:rFonts w:ascii="Arial" w:hAnsi="Arial" w:cs="Arial"/>
          <w:sz w:val="20"/>
          <w:szCs w:val="24"/>
        </w:rPr>
        <w:t>ét képezik.”</w:t>
      </w:r>
    </w:p>
    <w:sectPr w:rsidR="008D7E5D" w:rsidRPr="008E6224" w:rsidSect="00A165D8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01" w:rsidRDefault="00F77601" w:rsidP="009A28FB">
      <w:pPr>
        <w:spacing w:after="0" w:line="240" w:lineRule="auto"/>
      </w:pPr>
      <w:r>
        <w:separator/>
      </w:r>
    </w:p>
  </w:endnote>
  <w:endnote w:type="continuationSeparator" w:id="0">
    <w:p w:rsidR="00F77601" w:rsidRDefault="00F77601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8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497"/>
      <w:gridCol w:w="2561"/>
    </w:tblGrid>
    <w:tr w:rsidR="008D7E5D" w:rsidRPr="00632A01" w:rsidTr="00A861BE">
      <w:tc>
        <w:tcPr>
          <w:tcW w:w="7497" w:type="dxa"/>
        </w:tcPr>
        <w:p w:rsidR="008D7E5D" w:rsidRPr="00632A01" w:rsidRDefault="008D7E5D" w:rsidP="00D37865">
          <w:pPr>
            <w:pStyle w:val="newsCoordinates"/>
          </w:pPr>
          <w:r>
            <w:rPr>
              <w:szCs w:val="24"/>
            </w:rPr>
            <w:t xml:space="preserve">Kábítószerügyi kiemelt témák – elérhető angol nyelven a </w:t>
          </w:r>
          <w:proofErr w:type="spellStart"/>
          <w:r w:rsidR="00894E55">
            <w:rPr>
              <w:szCs w:val="24"/>
            </w:rPr>
            <w:t>www.emcdda.europa.eu</w:t>
          </w:r>
          <w:proofErr w:type="spellEnd"/>
          <w:r w:rsidR="00894E55">
            <w:rPr>
              <w:szCs w:val="24"/>
            </w:rPr>
            <w:t>/edr2014</w:t>
          </w:r>
          <w:r>
            <w:rPr>
              <w:szCs w:val="24"/>
            </w:rPr>
            <w:t xml:space="preserve"> címen</w:t>
          </w:r>
        </w:p>
      </w:tc>
      <w:tc>
        <w:tcPr>
          <w:tcW w:w="2561" w:type="dxa"/>
          <w:vAlign w:val="bottom"/>
        </w:tcPr>
        <w:p w:rsidR="008D7E5D" w:rsidRPr="00632A01" w:rsidRDefault="008D7E5D" w:rsidP="00632A01">
          <w:pPr>
            <w:pStyle w:val="newsReference"/>
            <w:jc w:val="right"/>
          </w:pPr>
        </w:p>
      </w:tc>
    </w:tr>
  </w:tbl>
  <w:p w:rsidR="008D7E5D" w:rsidRDefault="008D7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196"/>
      <w:gridCol w:w="3294"/>
    </w:tblGrid>
    <w:tr w:rsidR="008D7E5D" w:rsidRPr="00632A01" w:rsidTr="00632A01">
      <w:tc>
        <w:tcPr>
          <w:tcW w:w="7196" w:type="dxa"/>
        </w:tcPr>
        <w:p w:rsidR="008D7E5D" w:rsidRPr="00632A01" w:rsidRDefault="008D7E5D" w:rsidP="003B00EE">
          <w:pPr>
            <w:pStyle w:val="newsCoordinates"/>
          </w:pPr>
          <w:r w:rsidRPr="00632A01">
            <w:t xml:space="preserve">Kapcsolat: </w:t>
          </w:r>
          <w:proofErr w:type="spellStart"/>
          <w:r w:rsidRPr="00632A01">
            <w:t>Kathy</w:t>
          </w:r>
          <w:proofErr w:type="spellEnd"/>
          <w:r w:rsidRPr="00632A01">
            <w:t xml:space="preserve"> Robertson, Sajtókapcsolatok</w:t>
          </w:r>
          <w:r w:rsidR="00C36FEE">
            <w:rPr>
              <w:noProof/>
              <w:lang w:eastAsia="hu-HU"/>
            </w:rPr>
            <w:pict>
              <v:line id="Straight Connector 4" o:spid="_x0000_s2050" style="position:absolute;left:0;text-align:left;z-index:-251659264;visibility:visible;mso-position-horizontal-relative:page;mso-position-vertical-relative:page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" strokecolor="#009" strokeweight="1.5pt">
                <w10:wrap anchorx="page" anchory="page"/>
              </v:line>
            </w:pict>
          </w:r>
          <w:r w:rsidRPr="00632A01">
            <w:t xml:space="preserve">  </w:t>
          </w:r>
        </w:p>
        <w:p w:rsidR="008D7E5D" w:rsidRPr="00632A01" w:rsidRDefault="008D7E5D" w:rsidP="003B00EE">
          <w:pPr>
            <w:pStyle w:val="newsCoordinates"/>
          </w:pPr>
          <w:proofErr w:type="spellStart"/>
          <w:r w:rsidRPr="00632A01">
            <w:t>Praça</w:t>
          </w:r>
          <w:proofErr w:type="spellEnd"/>
          <w:r w:rsidRPr="00632A01">
            <w:t xml:space="preserve"> </w:t>
          </w:r>
          <w:proofErr w:type="spellStart"/>
          <w:r w:rsidRPr="00632A01">
            <w:t>Europa</w:t>
          </w:r>
          <w:proofErr w:type="spellEnd"/>
          <w:r w:rsidRPr="00632A01">
            <w:t xml:space="preserve"> 1, </w:t>
          </w:r>
          <w:proofErr w:type="spellStart"/>
          <w:r w:rsidRPr="00632A01">
            <w:t>Cais</w:t>
          </w:r>
          <w:proofErr w:type="spellEnd"/>
          <w:r w:rsidRPr="00632A01">
            <w:t xml:space="preserve"> </w:t>
          </w:r>
          <w:proofErr w:type="spellStart"/>
          <w:r w:rsidRPr="00632A01">
            <w:t>do</w:t>
          </w:r>
          <w:proofErr w:type="spellEnd"/>
          <w:r w:rsidRPr="00632A01">
            <w:t xml:space="preserve"> </w:t>
          </w:r>
          <w:proofErr w:type="spellStart"/>
          <w:r w:rsidRPr="00632A01">
            <w:t>Sodré</w:t>
          </w:r>
          <w:proofErr w:type="spellEnd"/>
          <w:r w:rsidRPr="00632A01">
            <w:t>, 1249-289 Lisszabon, Portugália</w:t>
          </w:r>
        </w:p>
        <w:p w:rsidR="008D7E5D" w:rsidRPr="00632A01" w:rsidRDefault="008D7E5D" w:rsidP="00A03329">
          <w:pPr>
            <w:pStyle w:val="newsCoordinates"/>
          </w:pPr>
          <w:r w:rsidRPr="00632A01">
            <w:t xml:space="preserve">Tel. (351) 211 21 02 00 </w:t>
          </w:r>
          <w:r w:rsidRPr="00632A01">
            <w:rPr>
              <w:sz w:val="18"/>
            </w:rPr>
            <w:t xml:space="preserve">I </w:t>
          </w:r>
          <w:proofErr w:type="spellStart"/>
          <w:r w:rsidRPr="00632A01">
            <w:t>press</w:t>
          </w:r>
          <w:proofErr w:type="spellEnd"/>
          <w:r w:rsidRPr="00632A01">
            <w:t>@</w:t>
          </w:r>
          <w:proofErr w:type="spellStart"/>
          <w:r w:rsidRPr="00632A01">
            <w:t>emcdda.europa.eu</w:t>
          </w:r>
          <w:proofErr w:type="spellEnd"/>
          <w:r w:rsidRPr="00632A01">
            <w:t xml:space="preserve"> </w:t>
          </w:r>
          <w:r w:rsidRPr="00632A01">
            <w:rPr>
              <w:sz w:val="18"/>
            </w:rPr>
            <w:t>I</w:t>
          </w:r>
          <w:r w:rsidRPr="00632A01">
            <w:t xml:space="preserve"> </w:t>
          </w:r>
          <w:proofErr w:type="spellStart"/>
          <w:r w:rsidRPr="00632A01">
            <w:t>emcdda.europa.eu</w:t>
          </w:r>
          <w:proofErr w:type="spellEnd"/>
        </w:p>
      </w:tc>
      <w:tc>
        <w:tcPr>
          <w:tcW w:w="3294" w:type="dxa"/>
          <w:vAlign w:val="bottom"/>
        </w:tcPr>
        <w:p w:rsidR="008D7E5D" w:rsidRPr="00632A01" w:rsidRDefault="008D7E5D" w:rsidP="00632A01">
          <w:pPr>
            <w:pStyle w:val="newsReference"/>
            <w:jc w:val="right"/>
          </w:pPr>
          <w:r w:rsidRPr="005248BF">
            <w:t>HU — 2014/4 sz.</w:t>
          </w:r>
        </w:p>
      </w:tc>
    </w:tr>
  </w:tbl>
  <w:p w:rsidR="008D7E5D" w:rsidRDefault="008D7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01" w:rsidRDefault="00F77601" w:rsidP="009A28FB">
      <w:pPr>
        <w:spacing w:after="0" w:line="240" w:lineRule="auto"/>
      </w:pPr>
      <w:r>
        <w:separator/>
      </w:r>
    </w:p>
  </w:footnote>
  <w:footnote w:type="continuationSeparator" w:id="0">
    <w:p w:rsidR="00F77601" w:rsidRDefault="00F77601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196"/>
      <w:gridCol w:w="3294"/>
    </w:tblGrid>
    <w:tr w:rsidR="008D7E5D" w:rsidRPr="00632A01" w:rsidTr="00632A01">
      <w:tc>
        <w:tcPr>
          <w:tcW w:w="7196" w:type="dxa"/>
        </w:tcPr>
        <w:p w:rsidR="008D7E5D" w:rsidRPr="00632A01" w:rsidRDefault="00C36FEE" w:rsidP="00CC4FDA">
          <w:pPr>
            <w:pStyle w:val="newsEmbargo"/>
          </w:pPr>
          <w:r>
            <w:rPr>
              <w:noProof/>
              <w:lang w:eastAsia="hu-HU"/>
            </w:rPr>
            <w:pict>
              <v:line id="Straight Connector 11" o:spid="_x0000_s2049" style="position:absolute;left:0;text-align:left;z-index:-251658240;visibility:visible;mso-position-horizontal-relative:page;mso-position-vertical-relative:page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<w10:wrap anchorx="page" anchory="page"/>
              </v:line>
            </w:pict>
          </w:r>
          <w:r w:rsidR="008D7E5D">
            <w:rPr>
              <w:szCs w:val="24"/>
            </w:rPr>
            <w:t>Kábítószerügyi kiemelt témák</w:t>
          </w:r>
          <w:r w:rsidR="008D7E5D" w:rsidRPr="00632A01">
            <w:rPr>
              <w:noProof/>
              <w:lang w:eastAsia="en-GB"/>
            </w:rPr>
            <w:t xml:space="preserve"> </w:t>
          </w:r>
          <w:r w:rsidR="008D7E5D" w:rsidRPr="00632A01">
            <w:rPr>
              <w:noProof/>
              <w:sz w:val="18"/>
              <w:lang w:eastAsia="en-GB"/>
            </w:rPr>
            <w:t>I</w:t>
          </w:r>
          <w:r w:rsidR="008D7E5D" w:rsidRPr="00632A01">
            <w:rPr>
              <w:noProof/>
              <w:lang w:eastAsia="en-GB"/>
            </w:rPr>
            <w:t xml:space="preserve"> </w:t>
          </w:r>
          <w:r w:rsidR="008D7E5D" w:rsidRPr="00A165D8">
            <w:rPr>
              <w:b/>
              <w:color w:val="FF0000"/>
              <w:szCs w:val="24"/>
            </w:rPr>
            <w:t>HÍRZÁRLAT WET/lisszaboni idő szerint 10.00 óráig</w:t>
          </w:r>
        </w:p>
      </w:tc>
      <w:tc>
        <w:tcPr>
          <w:tcW w:w="3294" w:type="dxa"/>
          <w:vAlign w:val="bottom"/>
        </w:tcPr>
        <w:p w:rsidR="008D7E5D" w:rsidRPr="00632A01" w:rsidRDefault="008D7E5D" w:rsidP="00632A01">
          <w:pPr>
            <w:pStyle w:val="newsReference"/>
            <w:jc w:val="right"/>
          </w:pPr>
          <w:r w:rsidRPr="00C47E38">
            <w:t>2014</w:t>
          </w:r>
          <w:r>
            <w:t>.5.27.</w:t>
          </w:r>
        </w:p>
      </w:tc>
    </w:tr>
  </w:tbl>
  <w:p w:rsidR="008D7E5D" w:rsidRDefault="008D7E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A01"/>
    <w:rsid w:val="00014E8E"/>
    <w:rsid w:val="00025C96"/>
    <w:rsid w:val="00036DAA"/>
    <w:rsid w:val="000535B7"/>
    <w:rsid w:val="00067DD3"/>
    <w:rsid w:val="00075735"/>
    <w:rsid w:val="0009358F"/>
    <w:rsid w:val="000C6200"/>
    <w:rsid w:val="000D25B6"/>
    <w:rsid w:val="00100641"/>
    <w:rsid w:val="00105BFC"/>
    <w:rsid w:val="00107C96"/>
    <w:rsid w:val="0017713E"/>
    <w:rsid w:val="001800D0"/>
    <w:rsid w:val="001A3338"/>
    <w:rsid w:val="001C36DF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0486D"/>
    <w:rsid w:val="00317B5A"/>
    <w:rsid w:val="0033158E"/>
    <w:rsid w:val="00337205"/>
    <w:rsid w:val="00346E9B"/>
    <w:rsid w:val="00351881"/>
    <w:rsid w:val="0036121D"/>
    <w:rsid w:val="00387D02"/>
    <w:rsid w:val="003B00EE"/>
    <w:rsid w:val="003B41B1"/>
    <w:rsid w:val="003C0395"/>
    <w:rsid w:val="003D0487"/>
    <w:rsid w:val="004137B0"/>
    <w:rsid w:val="004221D3"/>
    <w:rsid w:val="0044111C"/>
    <w:rsid w:val="00445080"/>
    <w:rsid w:val="0045468D"/>
    <w:rsid w:val="0046179A"/>
    <w:rsid w:val="00474AC8"/>
    <w:rsid w:val="004847FB"/>
    <w:rsid w:val="004C3028"/>
    <w:rsid w:val="004D6E0C"/>
    <w:rsid w:val="00520EF1"/>
    <w:rsid w:val="005248BF"/>
    <w:rsid w:val="00530BBE"/>
    <w:rsid w:val="00541A97"/>
    <w:rsid w:val="00542CEE"/>
    <w:rsid w:val="005A0DC8"/>
    <w:rsid w:val="005B05A0"/>
    <w:rsid w:val="005B0882"/>
    <w:rsid w:val="005B1B63"/>
    <w:rsid w:val="005C4033"/>
    <w:rsid w:val="005E734D"/>
    <w:rsid w:val="006116D9"/>
    <w:rsid w:val="006156BD"/>
    <w:rsid w:val="00623A55"/>
    <w:rsid w:val="00632547"/>
    <w:rsid w:val="00632A01"/>
    <w:rsid w:val="0063677C"/>
    <w:rsid w:val="006568FE"/>
    <w:rsid w:val="00666A63"/>
    <w:rsid w:val="00686810"/>
    <w:rsid w:val="0069096E"/>
    <w:rsid w:val="006C6DC1"/>
    <w:rsid w:val="007003A8"/>
    <w:rsid w:val="00730132"/>
    <w:rsid w:val="00773814"/>
    <w:rsid w:val="00791F09"/>
    <w:rsid w:val="007920E3"/>
    <w:rsid w:val="007927D2"/>
    <w:rsid w:val="007A45F1"/>
    <w:rsid w:val="007B0E03"/>
    <w:rsid w:val="007B1CCD"/>
    <w:rsid w:val="007D2128"/>
    <w:rsid w:val="007E4FCD"/>
    <w:rsid w:val="00813FB5"/>
    <w:rsid w:val="0081623D"/>
    <w:rsid w:val="00826CFF"/>
    <w:rsid w:val="00837F8F"/>
    <w:rsid w:val="00841E86"/>
    <w:rsid w:val="00860C28"/>
    <w:rsid w:val="00881730"/>
    <w:rsid w:val="00894E55"/>
    <w:rsid w:val="008B4089"/>
    <w:rsid w:val="008C1172"/>
    <w:rsid w:val="008D54B3"/>
    <w:rsid w:val="008D7E5D"/>
    <w:rsid w:val="008E453E"/>
    <w:rsid w:val="008E6224"/>
    <w:rsid w:val="008F177B"/>
    <w:rsid w:val="008F399E"/>
    <w:rsid w:val="00902300"/>
    <w:rsid w:val="00930F8E"/>
    <w:rsid w:val="00944227"/>
    <w:rsid w:val="00955F0C"/>
    <w:rsid w:val="00974A27"/>
    <w:rsid w:val="009A28FB"/>
    <w:rsid w:val="009D6255"/>
    <w:rsid w:val="009E25FB"/>
    <w:rsid w:val="00A03329"/>
    <w:rsid w:val="00A0788A"/>
    <w:rsid w:val="00A165D8"/>
    <w:rsid w:val="00A27289"/>
    <w:rsid w:val="00A311EF"/>
    <w:rsid w:val="00A3254D"/>
    <w:rsid w:val="00A661E2"/>
    <w:rsid w:val="00A843D2"/>
    <w:rsid w:val="00A856B7"/>
    <w:rsid w:val="00A861BE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050A"/>
    <w:rsid w:val="00B72DD3"/>
    <w:rsid w:val="00B7335C"/>
    <w:rsid w:val="00B74E3B"/>
    <w:rsid w:val="00B97BC5"/>
    <w:rsid w:val="00BA22D5"/>
    <w:rsid w:val="00BB60CF"/>
    <w:rsid w:val="00BD43E2"/>
    <w:rsid w:val="00BF1E3B"/>
    <w:rsid w:val="00C36BC1"/>
    <w:rsid w:val="00C36FEE"/>
    <w:rsid w:val="00C426F8"/>
    <w:rsid w:val="00C47E38"/>
    <w:rsid w:val="00C60D5C"/>
    <w:rsid w:val="00C628C4"/>
    <w:rsid w:val="00C63254"/>
    <w:rsid w:val="00C874C0"/>
    <w:rsid w:val="00CA2FF5"/>
    <w:rsid w:val="00CB49DA"/>
    <w:rsid w:val="00CC4FDA"/>
    <w:rsid w:val="00CC6A8B"/>
    <w:rsid w:val="00CF1D2A"/>
    <w:rsid w:val="00D0044F"/>
    <w:rsid w:val="00D01335"/>
    <w:rsid w:val="00D03EC6"/>
    <w:rsid w:val="00D3312B"/>
    <w:rsid w:val="00D37865"/>
    <w:rsid w:val="00D41B83"/>
    <w:rsid w:val="00D44CE3"/>
    <w:rsid w:val="00D4589F"/>
    <w:rsid w:val="00D57367"/>
    <w:rsid w:val="00D84AE3"/>
    <w:rsid w:val="00D92A34"/>
    <w:rsid w:val="00DC485E"/>
    <w:rsid w:val="00DF39B6"/>
    <w:rsid w:val="00E233F5"/>
    <w:rsid w:val="00E51A15"/>
    <w:rsid w:val="00E57C9D"/>
    <w:rsid w:val="00E66CCD"/>
    <w:rsid w:val="00E76AD8"/>
    <w:rsid w:val="00E77AED"/>
    <w:rsid w:val="00E81F3D"/>
    <w:rsid w:val="00E83C4D"/>
    <w:rsid w:val="00E83FC3"/>
    <w:rsid w:val="00E84EB5"/>
    <w:rsid w:val="00EB053B"/>
    <w:rsid w:val="00EE23CC"/>
    <w:rsid w:val="00F06CDE"/>
    <w:rsid w:val="00F1567C"/>
    <w:rsid w:val="00F21CA9"/>
    <w:rsid w:val="00F24096"/>
    <w:rsid w:val="00F249CD"/>
    <w:rsid w:val="00F414EF"/>
    <w:rsid w:val="00F47542"/>
    <w:rsid w:val="00F5647B"/>
    <w:rsid w:val="00F620F9"/>
    <w:rsid w:val="00F66370"/>
    <w:rsid w:val="00F77601"/>
    <w:rsid w:val="00F95EFB"/>
    <w:rsid w:val="00FB351B"/>
    <w:rsid w:val="00FC0187"/>
    <w:rsid w:val="00FC0251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DF"/>
    <w:pPr>
      <w:spacing w:after="200" w:line="276" w:lineRule="auto"/>
    </w:pPr>
    <w:rPr>
      <w:sz w:val="22"/>
      <w:szCs w:val="22"/>
      <w:lang w:val="hu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28FB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9A28FB"/>
    <w:rPr>
      <w:rFonts w:ascii="Tahoma" w:hAnsi="Tahoma" w:cs="Times New Roman"/>
      <w:sz w:val="16"/>
    </w:rPr>
  </w:style>
  <w:style w:type="paragraph" w:customStyle="1" w:styleId="newsTitle">
    <w:name w:val="newsTitle"/>
    <w:basedOn w:val="Normal"/>
    <w:autoRedefine/>
    <w:uiPriority w:val="99"/>
    <w:rsid w:val="00A165D8"/>
    <w:pPr>
      <w:tabs>
        <w:tab w:val="left" w:pos="5205"/>
      </w:tabs>
      <w:spacing w:before="480" w:after="112" w:line="240" w:lineRule="exact"/>
    </w:pPr>
    <w:rPr>
      <w:rFonts w:ascii="Arial" w:hAnsi="Arial" w:cs="Arial"/>
      <w:caps/>
    </w:rPr>
  </w:style>
  <w:style w:type="paragraph" w:styleId="Header">
    <w:name w:val="header"/>
    <w:basedOn w:val="Normal"/>
    <w:link w:val="HeaderChar"/>
    <w:uiPriority w:val="99"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3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A28FB"/>
    <w:rPr>
      <w:rFonts w:cs="Times New Roman"/>
    </w:rPr>
  </w:style>
  <w:style w:type="character" w:styleId="Hyperlink">
    <w:name w:val="Hyperlink"/>
    <w:uiPriority w:val="99"/>
    <w:rsid w:val="00A661E2"/>
    <w:rPr>
      <w:rFonts w:ascii="Arial" w:hAnsi="Arial" w:cs="Times New Roman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uiPriority w:val="99"/>
    <w:rsid w:val="00C60D5C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uiPriority w:val="99"/>
    <w:rsid w:val="00FC0251"/>
    <w:pPr>
      <w:spacing w:after="0" w:line="260" w:lineRule="exact"/>
      <w:jc w:val="both"/>
    </w:pPr>
    <w:rPr>
      <w:rFonts w:ascii="Arial" w:hAnsi="Arial"/>
      <w:color w:val="000000"/>
      <w:sz w:val="20"/>
      <w:szCs w:val="20"/>
      <w:lang w:eastAsia="ja-JP"/>
    </w:rPr>
  </w:style>
  <w:style w:type="paragraph" w:customStyle="1" w:styleId="newsAddress">
    <w:name w:val="newsAddress"/>
    <w:basedOn w:val="Footer"/>
    <w:autoRedefine/>
    <w:uiPriority w:val="99"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uiPriority w:val="99"/>
    <w:rsid w:val="00A03329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uiPriority w:val="99"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rFonts w:cs="Times New Roman"/>
      <w:color w:val="808080"/>
    </w:rPr>
  </w:style>
  <w:style w:type="paragraph" w:customStyle="1" w:styleId="newsCoordinates">
    <w:name w:val="newsCoordinates"/>
    <w:basedOn w:val="Footer"/>
    <w:autoRedefine/>
    <w:uiPriority w:val="99"/>
    <w:rsid w:val="00A03329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uiPriority w:val="99"/>
    <w:rsid w:val="00A03329"/>
    <w:rPr>
      <w:color w:val="000000"/>
      <w:sz w:val="15"/>
    </w:rPr>
  </w:style>
  <w:style w:type="paragraph" w:customStyle="1" w:styleId="newsDate">
    <w:name w:val="newsDate"/>
    <w:basedOn w:val="newsEmbargo"/>
    <w:autoRedefine/>
    <w:uiPriority w:val="99"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uiPriority w:val="99"/>
    <w:rsid w:val="00A03329"/>
    <w:pPr>
      <w:spacing w:line="220" w:lineRule="exact"/>
    </w:pPr>
    <w:rPr>
      <w:sz w:val="17"/>
    </w:rPr>
  </w:style>
  <w:style w:type="table" w:styleId="TableGrid">
    <w:name w:val="Table Grid"/>
    <w:basedOn w:val="TableNormal"/>
    <w:uiPriority w:val="9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uiPriority w:val="99"/>
    <w:rsid w:val="00D84AE3"/>
    <w:rPr>
      <w:rFonts w:ascii="Comic Sans MS" w:eastAsia="Times New Roman" w:hAnsi="Comic Sans MS"/>
      <w:color w:val="0000FF"/>
      <w:sz w:val="24"/>
      <w:lang w:val="en-US" w:eastAsia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uiPriority w:val="99"/>
    <w:rsid w:val="00CB49DA"/>
    <w:rPr>
      <w:vertAlign w:val="superscript"/>
    </w:rPr>
  </w:style>
  <w:style w:type="character" w:customStyle="1" w:styleId="newsContentChar">
    <w:name w:val="newsContent Char"/>
    <w:link w:val="newsContent"/>
    <w:uiPriority w:val="99"/>
    <w:locked/>
    <w:rsid w:val="00FC0251"/>
    <w:rPr>
      <w:rFonts w:ascii="Arial" w:hAnsi="Arial"/>
      <w:color w:val="000000"/>
      <w:lang w:val="hu-HU" w:eastAsia="ja-JP"/>
    </w:rPr>
  </w:style>
  <w:style w:type="character" w:customStyle="1" w:styleId="newsNotesChar">
    <w:name w:val="newsNotes Char"/>
    <w:link w:val="newsNotes"/>
    <w:uiPriority w:val="99"/>
    <w:locked/>
    <w:rsid w:val="00A03329"/>
    <w:rPr>
      <w:rFonts w:ascii="Arial" w:hAnsi="Arial"/>
      <w:color w:val="000000"/>
      <w:sz w:val="17"/>
      <w:lang w:val="hu-HU"/>
    </w:rPr>
  </w:style>
  <w:style w:type="character" w:customStyle="1" w:styleId="newsNotesNumberChar">
    <w:name w:val="newsNotesNumber Char"/>
    <w:link w:val="newsNotesNumber"/>
    <w:uiPriority w:val="99"/>
    <w:locked/>
    <w:rsid w:val="00CB49DA"/>
    <w:rPr>
      <w:rFonts w:ascii="Arial" w:hAnsi="Arial"/>
      <w:color w:val="000000"/>
      <w:sz w:val="17"/>
      <w:vertAlign w:val="superscript"/>
      <w:lang w:val="hu-HU"/>
    </w:rPr>
  </w:style>
  <w:style w:type="paragraph" w:styleId="CommentText">
    <w:name w:val="annotation text"/>
    <w:basedOn w:val="Normal"/>
    <w:link w:val="CommentTextChar"/>
    <w:uiPriority w:val="99"/>
    <w:rsid w:val="00A861BE"/>
    <w:pPr>
      <w:spacing w:line="240" w:lineRule="auto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locked/>
    <w:rsid w:val="00A861BE"/>
    <w:rPr>
      <w:rFonts w:ascii="Calibri" w:hAnsi="Calibri" w:cs="Times New Roman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8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th.borbala\Local%20Settings\Temporary%20Internet%20Files\Content.MSO\768266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768266F2</Template>
  <TotalTime>30</TotalTime>
  <Pages>3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EMCDDA</Manager>
  <Company>Translation Centre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Centre</dc:creator>
  <cp:keywords/>
  <dc:description/>
  <cp:lastModifiedBy>Kathryn Robertson</cp:lastModifiedBy>
  <cp:revision>24</cp:revision>
  <cp:lastPrinted>2014-05-14T08:01:00Z</cp:lastPrinted>
  <dcterms:created xsi:type="dcterms:W3CDTF">2014-05-12T13:06:00Z</dcterms:created>
  <dcterms:modified xsi:type="dcterms:W3CDTF">2014-05-21T16:09:00Z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HU</vt:lpwstr>
  </property>
</Properties>
</file>