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70" w:rightFromText="170" w:vertAnchor="page" w:horzAnchor="page" w:tblpX="738" w:tblpY="738"/>
        <w:tblW w:w="561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2" w:type="dxa"/>
          <w:right w:w="0" w:type="dxa"/>
        </w:tblCellMar>
        <w:tblLook w:val="0680" w:firstRow="0" w:lastRow="0" w:firstColumn="1" w:lastColumn="0" w:noHBand="1" w:noVBand="1"/>
      </w:tblPr>
      <w:tblGrid>
        <w:gridCol w:w="4972"/>
        <w:gridCol w:w="5692"/>
      </w:tblGrid>
      <w:tr w:rsidR="00EE23CC" w:rsidRPr="00796862" w:rsidTr="00025C96">
        <w:trPr>
          <w:trHeight w:val="1695"/>
        </w:trPr>
        <w:tc>
          <w:tcPr>
            <w:tcW w:w="2331" w:type="pct"/>
          </w:tcPr>
          <w:p w:rsidR="00EE23CC" w:rsidRPr="00796862" w:rsidRDefault="00EE23CC" w:rsidP="00025C96">
            <w:bookmarkStart w:id="0" w:name="_GoBack"/>
            <w:bookmarkEnd w:id="0"/>
            <w:r w:rsidRPr="00796862">
              <w:rPr>
                <w:noProof/>
                <w:lang w:val="en-GB" w:eastAsia="en-GB"/>
              </w:rPr>
              <w:drawing>
                <wp:inline distT="0" distB="0" distL="0" distR="0" wp14:anchorId="6093CA9D" wp14:editId="20D0C7AC">
                  <wp:extent cx="2914698" cy="61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logo.em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14698" cy="612000"/>
                          </a:xfrm>
                          <a:prstGeom prst="rect">
                            <a:avLst/>
                          </a:prstGeom>
                          <a:noFill/>
                          <a:ln>
                            <a:noFill/>
                          </a:ln>
                        </pic:spPr>
                      </pic:pic>
                    </a:graphicData>
                  </a:graphic>
                </wp:inline>
              </w:drawing>
            </w:r>
          </w:p>
        </w:tc>
        <w:tc>
          <w:tcPr>
            <w:tcW w:w="2669" w:type="pct"/>
          </w:tcPr>
          <w:p w:rsidR="00EE23CC" w:rsidRPr="00796862" w:rsidRDefault="00EE23CC" w:rsidP="00025C96"/>
        </w:tc>
      </w:tr>
    </w:tbl>
    <w:tbl>
      <w:tblPr>
        <w:tblStyle w:val="TableGrid"/>
        <w:tblW w:w="12796" w:type="dxa"/>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796"/>
      </w:tblGrid>
      <w:tr w:rsidR="00EE23CC" w:rsidRPr="00796862" w:rsidTr="001F70B4">
        <w:trPr>
          <w:trHeight w:val="1304"/>
        </w:trPr>
        <w:tc>
          <w:tcPr>
            <w:tcW w:w="12796" w:type="dxa"/>
            <w:vAlign w:val="bottom"/>
          </w:tcPr>
          <w:p w:rsidR="00EE23CC" w:rsidRPr="00796862" w:rsidRDefault="001F70B4" w:rsidP="001F70B4">
            <w:r w:rsidRPr="00796862">
              <w:rPr>
                <w:noProof/>
                <w:lang w:val="en-GB" w:eastAsia="en-GB"/>
              </w:rPr>
              <w:drawing>
                <wp:inline distT="0" distB="0" distL="0" distR="0" wp14:anchorId="24FA6B30" wp14:editId="35EECE67">
                  <wp:extent cx="7562850" cy="92095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ing-EN.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62850" cy="920959"/>
                          </a:xfrm>
                          <a:prstGeom prst="rect">
                            <a:avLst/>
                          </a:prstGeom>
                        </pic:spPr>
                      </pic:pic>
                    </a:graphicData>
                  </a:graphic>
                </wp:inline>
              </w:drawing>
            </w:r>
          </w:p>
        </w:tc>
      </w:tr>
    </w:tbl>
    <w:p w:rsidR="002E2C0E" w:rsidRPr="002E2C0E" w:rsidRDefault="002E2C0E" w:rsidP="002E2C0E">
      <w:pPr>
        <w:pStyle w:val="newsTitle"/>
        <w:rPr>
          <w:b/>
        </w:rPr>
      </w:pPr>
      <w:r w:rsidRPr="002E2C0E">
        <w:t>eIROPAS 2014. GADA ZIŅOJUMS PAR NARKOTIKĀM — perspeKTĪVAS NARKOTIKU JOMĀ</w:t>
      </w:r>
    </w:p>
    <w:p w:rsidR="002E2C0E" w:rsidRPr="00D57EFC" w:rsidRDefault="002E2C0E" w:rsidP="002E2C0E">
      <w:pPr>
        <w:pStyle w:val="newsSubTitle"/>
      </w:pPr>
      <w:r w:rsidRPr="00D57EFC">
        <w:t xml:space="preserve">ES </w:t>
      </w:r>
      <w:r w:rsidRPr="001C65C8">
        <w:t xml:space="preserve">Narkotiku un narkomānijas </w:t>
      </w:r>
      <w:r>
        <w:t xml:space="preserve">uzraudzības centra </w:t>
      </w:r>
      <w:r w:rsidRPr="00D57EFC">
        <w:t xml:space="preserve">jaunie tiešsaistes pētījumi sniedz ieskatu sešos aktuālos jautājumos </w:t>
      </w:r>
    </w:p>
    <w:p w:rsidR="002E2C0E" w:rsidRPr="00D57EFC" w:rsidRDefault="002E2C0E" w:rsidP="002E2C0E">
      <w:pPr>
        <w:autoSpaceDE w:val="0"/>
        <w:autoSpaceDN w:val="0"/>
        <w:adjustRightInd w:val="0"/>
        <w:spacing w:after="260" w:line="260" w:lineRule="exact"/>
        <w:rPr>
          <w:rFonts w:ascii="Arial" w:hAnsi="Arial" w:cs="Arial"/>
          <w:sz w:val="20"/>
          <w:szCs w:val="20"/>
        </w:rPr>
      </w:pPr>
      <w:r w:rsidRPr="00D57EFC">
        <w:rPr>
          <w:rFonts w:ascii="Arial" w:hAnsi="Arial" w:cs="Arial"/>
          <w:sz w:val="20"/>
          <w:szCs w:val="20"/>
        </w:rPr>
        <w:t xml:space="preserve">(LISABONA, 27.5.2014. </w:t>
      </w:r>
      <w:r w:rsidRPr="002E2C0E">
        <w:rPr>
          <w:rFonts w:ascii="Arial" w:hAnsi="Arial" w:cs="Arial"/>
          <w:b/>
          <w:color w:val="FF0000"/>
          <w:sz w:val="20"/>
          <w:szCs w:val="20"/>
        </w:rPr>
        <w:t>EMBARGO 10:00 WET/Lisabonas laiks</w:t>
      </w:r>
      <w:r w:rsidRPr="00D57EFC">
        <w:rPr>
          <w:rFonts w:ascii="Arial" w:hAnsi="Arial" w:cs="Arial"/>
          <w:sz w:val="20"/>
          <w:szCs w:val="20"/>
        </w:rPr>
        <w:t xml:space="preserve">) </w:t>
      </w:r>
      <w:r w:rsidRPr="00D57EFC">
        <w:rPr>
          <w:rFonts w:ascii="Arial" w:hAnsi="Arial" w:cs="Arial"/>
          <w:b/>
          <w:sz w:val="20"/>
          <w:szCs w:val="20"/>
        </w:rPr>
        <w:t>E</w:t>
      </w:r>
      <w:r>
        <w:rPr>
          <w:rFonts w:ascii="Arial" w:hAnsi="Arial" w:cs="Arial"/>
          <w:b/>
          <w:sz w:val="20"/>
          <w:szCs w:val="20"/>
        </w:rPr>
        <w:t>S N</w:t>
      </w:r>
      <w:r w:rsidRPr="00D57EFC">
        <w:rPr>
          <w:rFonts w:ascii="Arial" w:hAnsi="Arial" w:cs="Arial"/>
          <w:b/>
          <w:sz w:val="20"/>
          <w:szCs w:val="20"/>
        </w:rPr>
        <w:t xml:space="preserve">arkotiku </w:t>
      </w:r>
      <w:r>
        <w:rPr>
          <w:rFonts w:ascii="Arial" w:hAnsi="Arial" w:cs="Arial"/>
          <w:b/>
          <w:sz w:val="20"/>
          <w:szCs w:val="20"/>
        </w:rPr>
        <w:t xml:space="preserve">un narkomānijas uzraudzības centrs </w:t>
      </w:r>
      <w:r w:rsidRPr="00D57EFC">
        <w:rPr>
          <w:rFonts w:ascii="Arial" w:hAnsi="Arial" w:cs="Arial"/>
          <w:b/>
          <w:sz w:val="20"/>
          <w:szCs w:val="20"/>
        </w:rPr>
        <w:t>(</w:t>
      </w:r>
      <w:r w:rsidRPr="00D57EFC">
        <w:rPr>
          <w:rFonts w:ascii="Arial" w:hAnsi="Arial" w:cs="Arial"/>
          <w:b/>
          <w:i/>
          <w:sz w:val="20"/>
          <w:szCs w:val="20"/>
        </w:rPr>
        <w:t>EMCDDA</w:t>
      </w:r>
      <w:r w:rsidRPr="00D57EFC">
        <w:rPr>
          <w:rFonts w:ascii="Arial" w:hAnsi="Arial" w:cs="Arial"/>
          <w:b/>
          <w:sz w:val="20"/>
          <w:szCs w:val="20"/>
        </w:rPr>
        <w:t>)</w:t>
      </w:r>
      <w:r w:rsidRPr="00D57EFC">
        <w:rPr>
          <w:rFonts w:ascii="Arial" w:hAnsi="Arial" w:cs="Arial"/>
          <w:sz w:val="20"/>
          <w:szCs w:val="20"/>
        </w:rPr>
        <w:t xml:space="preserve"> vienlaikus ar gada pārskatu </w:t>
      </w:r>
      <w:r w:rsidRPr="00D57EFC">
        <w:rPr>
          <w:rFonts w:ascii="Arial" w:hAnsi="Arial" w:cs="Arial"/>
          <w:b/>
          <w:bCs/>
          <w:i/>
          <w:iCs/>
          <w:sz w:val="20"/>
          <w:szCs w:val="20"/>
        </w:rPr>
        <w:t xml:space="preserve">“Eiropas 2014. gada ziņojums par narkotikām — tendences un aktualitātes” </w:t>
      </w:r>
      <w:r w:rsidRPr="00D57EFC">
        <w:rPr>
          <w:rFonts w:ascii="Arial" w:hAnsi="Arial" w:cs="Arial"/>
          <w:sz w:val="20"/>
          <w:szCs w:val="20"/>
        </w:rPr>
        <w:t xml:space="preserve">šodien publicē sešus jaunus pētījumu cikla </w:t>
      </w:r>
      <w:r w:rsidRPr="00D57EFC">
        <w:rPr>
          <w:rFonts w:ascii="Arial" w:hAnsi="Arial" w:cs="Arial"/>
          <w:b/>
          <w:bCs/>
          <w:sz w:val="20"/>
          <w:szCs w:val="20"/>
        </w:rPr>
        <w:t xml:space="preserve">“Perspektīvas narkotiku jomā” </w:t>
      </w:r>
      <w:r w:rsidRPr="00D57EFC">
        <w:rPr>
          <w:rFonts w:ascii="Arial" w:hAnsi="Arial" w:cs="Arial"/>
          <w:sz w:val="20"/>
          <w:szCs w:val="20"/>
        </w:rPr>
        <w:t>(</w:t>
      </w:r>
      <w:r w:rsidRPr="00D57EFC">
        <w:rPr>
          <w:rFonts w:ascii="Arial" w:hAnsi="Arial" w:cs="Arial"/>
          <w:i/>
          <w:iCs/>
          <w:sz w:val="20"/>
          <w:szCs w:val="20"/>
        </w:rPr>
        <w:t>Perspectives on drugs/POD</w:t>
      </w:r>
      <w:r>
        <w:rPr>
          <w:rFonts w:ascii="Arial" w:hAnsi="Arial" w:cs="Arial"/>
          <w:sz w:val="20"/>
          <w:szCs w:val="20"/>
        </w:rPr>
        <w:t>) papildinājumus</w:t>
      </w:r>
      <w:r w:rsidRPr="00D57EFC">
        <w:rPr>
          <w:rFonts w:ascii="Arial" w:hAnsi="Arial" w:cs="Arial"/>
          <w:sz w:val="20"/>
          <w:szCs w:val="20"/>
        </w:rPr>
        <w:t xml:space="preserve">. Šajā jaunākajā tiešsaistes interaktīvās analīzes izlasē ir sniegts pārskats par galvenajiem aspektiem pašreizējā situācijā narkotiku jomā Eiropā. </w:t>
      </w:r>
      <w:r w:rsidRPr="00D57EFC">
        <w:rPr>
          <w:rFonts w:ascii="Arial" w:hAnsi="Arial" w:cs="Arial"/>
          <w:i/>
          <w:iCs/>
          <w:sz w:val="20"/>
          <w:szCs w:val="20"/>
        </w:rPr>
        <w:t>POD</w:t>
      </w:r>
      <w:r w:rsidRPr="00D57EFC">
        <w:rPr>
          <w:rFonts w:ascii="Arial" w:hAnsi="Arial" w:cs="Arial"/>
          <w:bCs/>
          <w:sz w:val="20"/>
          <w:szCs w:val="20"/>
        </w:rPr>
        <w:t xml:space="preserve"> </w:t>
      </w:r>
      <w:r w:rsidRPr="00D57EFC">
        <w:rPr>
          <w:rFonts w:ascii="Arial" w:hAnsi="Arial" w:cs="Arial"/>
          <w:sz w:val="20"/>
          <w:szCs w:val="20"/>
        </w:rPr>
        <w:t>ir aplūkotas jaunās problēmas saistībā ar stimulantu lietošanu, aktualitātes Eiropas kaņepju tirgū, kā arī sasniegumi ārstēšanā ar interneta starpniecību un notekūdeņu analīze.</w:t>
      </w:r>
    </w:p>
    <w:p w:rsidR="002E2C0E" w:rsidRPr="00D57EFC" w:rsidRDefault="002E2C0E" w:rsidP="002E2C0E">
      <w:pPr>
        <w:pStyle w:val="newsContent"/>
      </w:pPr>
      <w:r w:rsidRPr="00D57EFC">
        <w:rPr>
          <w:b/>
        </w:rPr>
        <w:t>Sintētiskie katinoni — satraukumu rada injicēšanas izplatība vietējā un valsts mērogā</w:t>
      </w:r>
    </w:p>
    <w:p w:rsidR="002E2C0E" w:rsidRPr="00D57EFC" w:rsidRDefault="002E2C0E" w:rsidP="002E2C0E">
      <w:pPr>
        <w:spacing w:after="260" w:line="260" w:lineRule="exact"/>
        <w:rPr>
          <w:rFonts w:ascii="Arial" w:hAnsi="Arial" w:cs="Arial"/>
          <w:sz w:val="20"/>
          <w:szCs w:val="20"/>
        </w:rPr>
      </w:pPr>
      <w:r w:rsidRPr="00D57EFC">
        <w:rPr>
          <w:rFonts w:ascii="Arial" w:hAnsi="Arial" w:cs="Arial"/>
          <w:sz w:val="20"/>
          <w:szCs w:val="20"/>
        </w:rPr>
        <w:t xml:space="preserve">Laikposmā no 2005. līdz 2013. gadam ar </w:t>
      </w:r>
      <w:r w:rsidRPr="00D57EFC">
        <w:rPr>
          <w:rFonts w:ascii="Arial" w:hAnsi="Arial" w:cs="Arial"/>
          <w:b/>
          <w:sz w:val="20"/>
          <w:szCs w:val="20"/>
        </w:rPr>
        <w:t xml:space="preserve">ES agrīnās brīdināšanas sistēmas (ES ABS) </w:t>
      </w:r>
      <w:r w:rsidRPr="00D57EFC">
        <w:rPr>
          <w:rFonts w:ascii="Arial" w:hAnsi="Arial" w:cs="Arial"/>
          <w:sz w:val="20"/>
          <w:szCs w:val="20"/>
        </w:rPr>
        <w:t xml:space="preserve">starpniecību ir konstatēti vairāk nekā 50 sintētiskie katinona atvasinājumi (stimulanti). Starp vielām, ko uzrauga ES ABS, ir mefedrons (iesniegts ES kontroles pasākumiem 2010. gadā), </w:t>
      </w:r>
      <w:r w:rsidRPr="00D57EFC">
        <w:rPr>
          <w:rFonts w:ascii="Arial" w:hAnsi="Arial" w:cs="Arial"/>
          <w:i/>
          <w:sz w:val="20"/>
          <w:szCs w:val="20"/>
        </w:rPr>
        <w:t>MDPV</w:t>
      </w:r>
      <w:r w:rsidRPr="00D57EFC">
        <w:rPr>
          <w:rFonts w:ascii="Arial" w:hAnsi="Arial" w:cs="Arial"/>
          <w:sz w:val="20"/>
          <w:szCs w:val="20"/>
        </w:rPr>
        <w:t xml:space="preserve"> (riska analīze veikta 2014. gada aprīlī) un pentedrons. Sintētiskos katinonus var šņaukt kā pulveri vai norīt kā tabletes, bet </w:t>
      </w:r>
      <w:r w:rsidRPr="00D57EFC">
        <w:rPr>
          <w:rFonts w:ascii="Arial" w:hAnsi="Arial" w:cs="Arial"/>
          <w:b/>
          <w:i/>
          <w:sz w:val="20"/>
          <w:szCs w:val="20"/>
        </w:rPr>
        <w:t>EMCDDA</w:t>
      </w:r>
      <w:r w:rsidRPr="00D57EFC">
        <w:rPr>
          <w:rFonts w:ascii="Arial" w:hAnsi="Arial" w:cs="Arial"/>
          <w:b/>
          <w:sz w:val="20"/>
          <w:szCs w:val="20"/>
        </w:rPr>
        <w:t xml:space="preserve"> </w:t>
      </w:r>
      <w:r w:rsidRPr="00D57EFC">
        <w:rPr>
          <w:rFonts w:ascii="Arial" w:hAnsi="Arial" w:cs="Arial"/>
          <w:sz w:val="20"/>
          <w:szCs w:val="20"/>
        </w:rPr>
        <w:t xml:space="preserve">šodien pēta satraucošu šo vielu injicēšanas izplatību. </w:t>
      </w:r>
    </w:p>
    <w:p w:rsidR="002E2C0E" w:rsidRPr="00D57EFC" w:rsidRDefault="002E2C0E" w:rsidP="002E2C0E">
      <w:pPr>
        <w:spacing w:after="260" w:line="260" w:lineRule="exact"/>
        <w:rPr>
          <w:rFonts w:ascii="Arial" w:hAnsi="Arial" w:cs="Arial"/>
          <w:sz w:val="20"/>
          <w:szCs w:val="20"/>
        </w:rPr>
      </w:pPr>
      <w:r w:rsidRPr="00D57EFC">
        <w:rPr>
          <w:rFonts w:ascii="Arial" w:hAnsi="Arial" w:cs="Arial"/>
          <w:sz w:val="20"/>
          <w:szCs w:val="20"/>
        </w:rPr>
        <w:t xml:space="preserve">Lai gan katinonu injicēšana Eiropā nav plaši izplatīta, dažās valstīs (piemēram, </w:t>
      </w:r>
      <w:r w:rsidRPr="00D57EFC">
        <w:rPr>
          <w:rFonts w:ascii="Arial" w:hAnsi="Arial" w:cs="Arial"/>
          <w:b/>
          <w:sz w:val="20"/>
          <w:szCs w:val="20"/>
        </w:rPr>
        <w:t xml:space="preserve">Čehijas Republikā, Vācijā, Īrijā, Spānijā, Austrijā, Polijā, Somijā, Zviedrijā </w:t>
      </w:r>
      <w:r w:rsidRPr="00D57EFC">
        <w:rPr>
          <w:rFonts w:ascii="Arial" w:hAnsi="Arial" w:cs="Arial"/>
          <w:sz w:val="20"/>
          <w:szCs w:val="20"/>
        </w:rPr>
        <w:t>un</w:t>
      </w:r>
      <w:r w:rsidRPr="00D57EFC">
        <w:rPr>
          <w:rFonts w:ascii="Arial" w:hAnsi="Arial" w:cs="Arial"/>
          <w:b/>
          <w:sz w:val="20"/>
          <w:szCs w:val="20"/>
        </w:rPr>
        <w:t xml:space="preserve"> Apvienotajā Karalistē</w:t>
      </w:r>
      <w:r w:rsidRPr="00D57EFC">
        <w:rPr>
          <w:rFonts w:ascii="Arial" w:hAnsi="Arial" w:cs="Arial"/>
          <w:sz w:val="20"/>
          <w:szCs w:val="20"/>
        </w:rPr>
        <w:t>) tā ir novērota kā vietēja mēroga problēma augsta riska narkotiku lietotāju grupās. Plašāka šo vielu injicēšanas izplatība</w:t>
      </w:r>
      <w:r w:rsidRPr="00D57EFC">
        <w:rPr>
          <w:rFonts w:ascii="Arial" w:hAnsi="Arial" w:cs="Arial"/>
          <w:b/>
          <w:sz w:val="20"/>
          <w:szCs w:val="20"/>
        </w:rPr>
        <w:t xml:space="preserve"> </w:t>
      </w:r>
      <w:r w:rsidRPr="00D57EFC">
        <w:rPr>
          <w:rFonts w:ascii="Arial" w:hAnsi="Arial" w:cs="Arial"/>
          <w:sz w:val="20"/>
          <w:szCs w:val="20"/>
        </w:rPr>
        <w:t>ir konstatēta</w:t>
      </w:r>
      <w:r w:rsidRPr="00D57EFC">
        <w:rPr>
          <w:rFonts w:ascii="Arial" w:hAnsi="Arial" w:cs="Arial"/>
          <w:b/>
          <w:sz w:val="20"/>
          <w:szCs w:val="20"/>
        </w:rPr>
        <w:t xml:space="preserve"> Ungārijā </w:t>
      </w:r>
      <w:r w:rsidRPr="00D57EFC">
        <w:rPr>
          <w:rFonts w:ascii="Arial" w:hAnsi="Arial" w:cs="Arial"/>
          <w:sz w:val="20"/>
          <w:szCs w:val="20"/>
        </w:rPr>
        <w:t>un</w:t>
      </w:r>
      <w:r w:rsidRPr="00D57EFC">
        <w:rPr>
          <w:rFonts w:ascii="Arial" w:hAnsi="Arial" w:cs="Arial"/>
          <w:b/>
          <w:sz w:val="20"/>
          <w:szCs w:val="20"/>
        </w:rPr>
        <w:t xml:space="preserve"> Rumānijā</w:t>
      </w:r>
      <w:r w:rsidRPr="00D57EFC">
        <w:rPr>
          <w:rFonts w:ascii="Arial" w:hAnsi="Arial" w:cs="Arial"/>
          <w:sz w:val="20"/>
          <w:szCs w:val="20"/>
        </w:rPr>
        <w:t xml:space="preserve">. Piemēram, adatu un šļirču apmaiņas programmu valsts mēroga apsekojumā </w:t>
      </w:r>
      <w:r w:rsidRPr="00D57EFC">
        <w:rPr>
          <w:rFonts w:ascii="Arial" w:hAnsi="Arial" w:cs="Arial"/>
          <w:b/>
          <w:sz w:val="20"/>
          <w:szCs w:val="20"/>
        </w:rPr>
        <w:t>Ungārijā</w:t>
      </w:r>
      <w:r w:rsidRPr="00D57EFC">
        <w:rPr>
          <w:rFonts w:ascii="Arial" w:hAnsi="Arial" w:cs="Arial"/>
          <w:sz w:val="20"/>
          <w:szCs w:val="20"/>
        </w:rPr>
        <w:t xml:space="preserve"> ir atklājies, ka 2012. gadā 36 % klientu kā primāro vielu ir injicējuši katinonus. </w:t>
      </w:r>
    </w:p>
    <w:p w:rsidR="002E2C0E" w:rsidRPr="00D57EFC" w:rsidRDefault="002E2C0E" w:rsidP="002E2C0E">
      <w:pPr>
        <w:spacing w:after="260" w:line="260" w:lineRule="exact"/>
        <w:rPr>
          <w:sz w:val="20"/>
          <w:szCs w:val="20"/>
        </w:rPr>
      </w:pPr>
      <w:r w:rsidRPr="00D57EFC">
        <w:rPr>
          <w:rFonts w:ascii="Arial" w:hAnsi="Arial" w:cs="Arial"/>
          <w:sz w:val="20"/>
          <w:szCs w:val="20"/>
        </w:rPr>
        <w:t>Uzvedība, kas rada arvien lielākas bažas (novērojama tādu apakšgrupu vīriešu vidū, kam ir dzimumattiecības ar citiem vīriešiem (</w:t>
      </w:r>
      <w:r w:rsidRPr="00D57EFC">
        <w:rPr>
          <w:rFonts w:ascii="Arial" w:hAnsi="Arial" w:cs="Arial"/>
          <w:i/>
          <w:sz w:val="20"/>
          <w:szCs w:val="20"/>
        </w:rPr>
        <w:t>MSM</w:t>
      </w:r>
      <w:r w:rsidRPr="00D57EFC">
        <w:rPr>
          <w:rFonts w:ascii="Arial" w:hAnsi="Arial" w:cs="Arial"/>
          <w:sz w:val="20"/>
          <w:szCs w:val="20"/>
        </w:rPr>
        <w:t>)), ir dažādu nelegālu narkotiku (piemēram, katinonu un metamfetamīna) injicēšana tā dēvēto “ķīmiskā seksa” ballīšu laikā. Ziņojumi par šo jauno praksi, kas ir saistīta ar riskantu seksuālo uzvedību, līdz šim ir saņemti no dažām lielām pilsētām. Ņemot vērā apzināto jauno katinona injicēšanas paradumu potenciālo ietekmi, šīs problēmas cieša uzraudzība ir sabiedrības veselības aizsardzības prioritāte.</w:t>
      </w:r>
    </w:p>
    <w:p w:rsidR="002E2C0E" w:rsidRPr="00D57EFC" w:rsidRDefault="002E2C0E" w:rsidP="002E2C0E">
      <w:pPr>
        <w:rPr>
          <w:rFonts w:ascii="Arial" w:hAnsi="Arial" w:cs="Arial"/>
          <w:b/>
          <w:sz w:val="20"/>
          <w:szCs w:val="20"/>
        </w:rPr>
      </w:pPr>
      <w:r w:rsidRPr="00D57EFC">
        <w:rPr>
          <w:rFonts w:ascii="Arial" w:hAnsi="Arial" w:cs="Arial"/>
          <w:b/>
          <w:sz w:val="20"/>
          <w:szCs w:val="20"/>
        </w:rPr>
        <w:t>Metamfetamīns — pieaugošas bažas rada jaunu un dažādu lietošanas tendenču veidošanās</w:t>
      </w:r>
    </w:p>
    <w:p w:rsidR="005C3315" w:rsidRDefault="002E2C0E" w:rsidP="002E2C0E">
      <w:pPr>
        <w:spacing w:after="260"/>
        <w:ind w:right="-285"/>
        <w:rPr>
          <w:rFonts w:ascii="Arial" w:hAnsi="Arial" w:cs="Arial"/>
          <w:sz w:val="20"/>
          <w:szCs w:val="20"/>
        </w:rPr>
      </w:pPr>
      <w:r w:rsidRPr="00D57EFC">
        <w:rPr>
          <w:rFonts w:ascii="Arial" w:hAnsi="Arial" w:cs="Arial"/>
          <w:sz w:val="20"/>
          <w:szCs w:val="20"/>
        </w:rPr>
        <w:t xml:space="preserve">Metamfetamīns ir tradicionāla stimulējoša narkotika daudzās pasaules daļās (piemēram, Dienvidaustrumāzijā, ASV), kur tā ilgstoši ir radījusi lielas sabiedrības veselības problēmas. Lai gan Eiropā metamfetamīna lietošana vēsturiski ir bijusi izplatīta tikai </w:t>
      </w:r>
      <w:r w:rsidRPr="00D57EFC">
        <w:rPr>
          <w:rFonts w:ascii="Arial" w:hAnsi="Arial" w:cs="Arial"/>
          <w:b/>
          <w:sz w:val="20"/>
          <w:szCs w:val="20"/>
        </w:rPr>
        <w:t>Čehijas Republikā</w:t>
      </w:r>
      <w:r w:rsidRPr="00D57EFC">
        <w:rPr>
          <w:rFonts w:ascii="Arial" w:hAnsi="Arial" w:cs="Arial"/>
          <w:sz w:val="20"/>
          <w:szCs w:val="20"/>
        </w:rPr>
        <w:t xml:space="preserve"> un </w:t>
      </w:r>
      <w:r w:rsidRPr="00D57EFC">
        <w:rPr>
          <w:rFonts w:ascii="Arial" w:hAnsi="Arial" w:cs="Arial"/>
          <w:b/>
          <w:sz w:val="20"/>
          <w:szCs w:val="20"/>
        </w:rPr>
        <w:t>Slovākijā</w:t>
      </w:r>
      <w:r w:rsidRPr="00D57EFC">
        <w:rPr>
          <w:rFonts w:ascii="Arial" w:hAnsi="Arial" w:cs="Arial"/>
          <w:sz w:val="20"/>
          <w:szCs w:val="20"/>
        </w:rPr>
        <w:t xml:space="preserve">, pašlaik jauni lietošanas perēkļi un ievirzes rodas arī citās valstīs un dažādās iedzīvotāju grupās. Kā piemērus var minēt metamfetamīna (pulvera) </w:t>
      </w:r>
      <w:r w:rsidRPr="00D57EFC">
        <w:rPr>
          <w:rFonts w:ascii="Arial" w:hAnsi="Arial" w:cs="Arial"/>
          <w:i/>
          <w:sz w:val="20"/>
          <w:szCs w:val="20"/>
        </w:rPr>
        <w:t xml:space="preserve">šņaukšanas </w:t>
      </w:r>
      <w:r w:rsidRPr="00D57EFC">
        <w:rPr>
          <w:rFonts w:ascii="Arial" w:hAnsi="Arial" w:cs="Arial"/>
          <w:sz w:val="20"/>
          <w:szCs w:val="20"/>
        </w:rPr>
        <w:t>izplatību</w:t>
      </w:r>
      <w:r w:rsidRPr="00D57EFC">
        <w:rPr>
          <w:rFonts w:ascii="Arial" w:hAnsi="Arial" w:cs="Arial"/>
          <w:i/>
          <w:sz w:val="20"/>
          <w:szCs w:val="20"/>
        </w:rPr>
        <w:t xml:space="preserve"> </w:t>
      </w:r>
      <w:r w:rsidRPr="00D57EFC">
        <w:rPr>
          <w:rFonts w:ascii="Arial" w:hAnsi="Arial" w:cs="Arial"/>
          <w:b/>
          <w:sz w:val="20"/>
          <w:szCs w:val="20"/>
        </w:rPr>
        <w:t>Vācijā</w:t>
      </w:r>
      <w:r w:rsidRPr="00D57EFC">
        <w:rPr>
          <w:rFonts w:ascii="Arial" w:hAnsi="Arial" w:cs="Arial"/>
          <w:i/>
          <w:sz w:val="20"/>
          <w:szCs w:val="20"/>
        </w:rPr>
        <w:t xml:space="preserve"> </w:t>
      </w:r>
      <w:r w:rsidRPr="00D57EFC">
        <w:rPr>
          <w:rFonts w:ascii="Arial" w:hAnsi="Arial" w:cs="Arial"/>
          <w:sz w:val="20"/>
          <w:szCs w:val="20"/>
        </w:rPr>
        <w:t xml:space="preserve">izklaides narkotiku lietotāju vidū, kristāliskā </w:t>
      </w:r>
    </w:p>
    <w:p w:rsidR="005C3315" w:rsidRDefault="005C3315">
      <w:pPr>
        <w:rPr>
          <w:rFonts w:ascii="Arial" w:hAnsi="Arial" w:cs="Arial"/>
          <w:sz w:val="20"/>
          <w:szCs w:val="20"/>
        </w:rPr>
      </w:pPr>
      <w:r>
        <w:rPr>
          <w:rFonts w:ascii="Arial" w:hAnsi="Arial" w:cs="Arial"/>
          <w:sz w:val="20"/>
          <w:szCs w:val="20"/>
        </w:rPr>
        <w:br w:type="page"/>
      </w:r>
    </w:p>
    <w:p w:rsidR="002E2C0E" w:rsidRPr="00D57EFC" w:rsidRDefault="002E2C0E" w:rsidP="002E2C0E">
      <w:pPr>
        <w:spacing w:after="260"/>
        <w:ind w:right="-285"/>
        <w:rPr>
          <w:rFonts w:ascii="Arial" w:hAnsi="Arial" w:cs="Arial"/>
          <w:sz w:val="20"/>
          <w:szCs w:val="20"/>
        </w:rPr>
      </w:pPr>
      <w:r w:rsidRPr="00D57EFC">
        <w:rPr>
          <w:rFonts w:ascii="Arial" w:hAnsi="Arial" w:cs="Arial"/>
          <w:sz w:val="20"/>
          <w:szCs w:val="20"/>
        </w:rPr>
        <w:lastRenderedPageBreak/>
        <w:t xml:space="preserve">metamfetamīna </w:t>
      </w:r>
      <w:r w:rsidRPr="00D57EFC">
        <w:rPr>
          <w:rFonts w:ascii="Arial" w:hAnsi="Arial" w:cs="Arial"/>
          <w:i/>
          <w:sz w:val="20"/>
          <w:szCs w:val="20"/>
        </w:rPr>
        <w:t xml:space="preserve">smēķēšanas </w:t>
      </w:r>
      <w:r w:rsidRPr="00D57EFC">
        <w:rPr>
          <w:rFonts w:ascii="Arial" w:hAnsi="Arial" w:cs="Arial"/>
          <w:sz w:val="20"/>
          <w:szCs w:val="20"/>
        </w:rPr>
        <w:t xml:space="preserve">izplatību opioīdu injicētāju vidū </w:t>
      </w:r>
      <w:r w:rsidRPr="00D57EFC">
        <w:rPr>
          <w:rFonts w:ascii="Arial" w:hAnsi="Arial" w:cs="Arial"/>
          <w:b/>
          <w:sz w:val="20"/>
          <w:szCs w:val="20"/>
        </w:rPr>
        <w:t>Grieķijā, Kiprā</w:t>
      </w:r>
      <w:r w:rsidRPr="00D57EFC">
        <w:rPr>
          <w:rFonts w:ascii="Arial" w:hAnsi="Arial" w:cs="Arial"/>
          <w:sz w:val="20"/>
          <w:szCs w:val="20"/>
        </w:rPr>
        <w:t xml:space="preserve"> un </w:t>
      </w:r>
      <w:r w:rsidRPr="00D57EFC">
        <w:rPr>
          <w:rFonts w:ascii="Arial" w:hAnsi="Arial" w:cs="Arial"/>
          <w:b/>
          <w:sz w:val="20"/>
          <w:szCs w:val="20"/>
        </w:rPr>
        <w:t>Turcijā</w:t>
      </w:r>
      <w:r w:rsidRPr="00D57EFC">
        <w:rPr>
          <w:rFonts w:ascii="Arial" w:hAnsi="Arial" w:cs="Arial"/>
          <w:sz w:val="20"/>
          <w:szCs w:val="20"/>
        </w:rPr>
        <w:t xml:space="preserve"> un šīs vielas </w:t>
      </w:r>
      <w:r w:rsidRPr="00D57EFC">
        <w:rPr>
          <w:rFonts w:ascii="Arial" w:hAnsi="Arial" w:cs="Arial"/>
          <w:i/>
          <w:sz w:val="20"/>
          <w:szCs w:val="20"/>
        </w:rPr>
        <w:t>injicēšanu</w:t>
      </w:r>
      <w:r w:rsidRPr="00D57EFC">
        <w:rPr>
          <w:rFonts w:ascii="Arial" w:hAnsi="Arial" w:cs="Arial"/>
          <w:sz w:val="20"/>
          <w:szCs w:val="20"/>
        </w:rPr>
        <w:t xml:space="preserve"> kopā ar citām vielām </w:t>
      </w:r>
      <w:r w:rsidRPr="00D57EFC">
        <w:rPr>
          <w:rFonts w:ascii="Arial" w:hAnsi="Arial" w:cs="Arial"/>
          <w:i/>
          <w:sz w:val="20"/>
          <w:szCs w:val="20"/>
        </w:rPr>
        <w:t>MSM</w:t>
      </w:r>
      <w:r w:rsidRPr="00D57EFC">
        <w:rPr>
          <w:rFonts w:ascii="Arial" w:hAnsi="Arial" w:cs="Arial"/>
          <w:sz w:val="20"/>
          <w:szCs w:val="20"/>
        </w:rPr>
        <w:t xml:space="preserve"> vidū (</w:t>
      </w:r>
      <w:proofErr w:type="spellStart"/>
      <w:r w:rsidRPr="00D57EFC">
        <w:rPr>
          <w:rFonts w:ascii="Arial" w:hAnsi="Arial" w:cs="Arial"/>
          <w:sz w:val="20"/>
          <w:szCs w:val="20"/>
        </w:rPr>
        <w:t>sk</w:t>
      </w:r>
      <w:proofErr w:type="spellEnd"/>
      <w:r w:rsidRPr="00D57EFC">
        <w:rPr>
          <w:rFonts w:ascii="Arial" w:hAnsi="Arial" w:cs="Arial"/>
          <w:sz w:val="20"/>
          <w:szCs w:val="20"/>
        </w:rPr>
        <w:t xml:space="preserve">. iepriekš). </w:t>
      </w:r>
    </w:p>
    <w:p w:rsidR="002E2C0E" w:rsidRPr="00D57EFC" w:rsidRDefault="002E2C0E" w:rsidP="002E2C0E">
      <w:pPr>
        <w:spacing w:after="260" w:line="260" w:lineRule="exact"/>
        <w:rPr>
          <w:rFonts w:ascii="Arial" w:hAnsi="Arial" w:cs="Arial"/>
          <w:sz w:val="20"/>
          <w:szCs w:val="20"/>
        </w:rPr>
      </w:pPr>
      <w:r w:rsidRPr="00D57EFC">
        <w:rPr>
          <w:rFonts w:ascii="Arial" w:hAnsi="Arial" w:cs="Arial"/>
          <w:sz w:val="20"/>
          <w:szCs w:val="20"/>
        </w:rPr>
        <w:t xml:space="preserve">Jaunajā analīzē </w:t>
      </w:r>
      <w:r w:rsidRPr="00D57EFC">
        <w:rPr>
          <w:rFonts w:ascii="Arial" w:hAnsi="Arial" w:cs="Arial"/>
          <w:b/>
          <w:i/>
          <w:sz w:val="20"/>
          <w:szCs w:val="20"/>
        </w:rPr>
        <w:t>EMCDDA</w:t>
      </w:r>
      <w:r w:rsidRPr="00D57EFC">
        <w:rPr>
          <w:rFonts w:ascii="Arial" w:hAnsi="Arial" w:cs="Arial"/>
          <w:b/>
          <w:sz w:val="20"/>
          <w:szCs w:val="20"/>
        </w:rPr>
        <w:t xml:space="preserve"> </w:t>
      </w:r>
      <w:r w:rsidRPr="00D57EFC">
        <w:rPr>
          <w:rFonts w:ascii="Arial" w:hAnsi="Arial" w:cs="Arial"/>
          <w:sz w:val="20"/>
          <w:szCs w:val="20"/>
        </w:rPr>
        <w:t>aplūko ar šīs narkotikas lietošanu mūsdienās saistītās veselības aprūpes un sociālo risinājumu nodrošināšanas problēmas. Lai gan nav apstiprinātu medikamentu metamfetamīna atkarības ārstēšanai, psihosociāli intervences pasākumi ir izrādījušies efektīvi. Aģentūra saka:</w:t>
      </w:r>
      <w:r w:rsidRPr="00D57EFC">
        <w:rPr>
          <w:rFonts w:ascii="Arial" w:hAnsi="Arial" w:cs="Arial"/>
          <w:b/>
          <w:sz w:val="20"/>
          <w:szCs w:val="20"/>
        </w:rPr>
        <w:t xml:space="preserve"> </w:t>
      </w:r>
      <w:r w:rsidRPr="005C3315">
        <w:rPr>
          <w:rFonts w:ascii="Arial" w:hAnsi="Arial" w:cs="Arial"/>
          <w:sz w:val="20"/>
          <w:szCs w:val="20"/>
        </w:rPr>
        <w:t>“</w:t>
      </w:r>
      <w:r w:rsidRPr="00D57EFC">
        <w:rPr>
          <w:rFonts w:ascii="Arial" w:hAnsi="Arial" w:cs="Arial"/>
          <w:sz w:val="20"/>
          <w:szCs w:val="20"/>
        </w:rPr>
        <w:t xml:space="preserve">Eiropas pašreizējā metamfetamīna problēma nav vienkārša, tāpēc būs jāpielāgo, jāizstrādā un jāpieskaņo vietēja mēroga ievirzēm un konstatētajām problēmām atbilstoši risinājumi”. </w:t>
      </w:r>
    </w:p>
    <w:p w:rsidR="002E2C0E" w:rsidRPr="00D57EFC" w:rsidRDefault="002E2C0E" w:rsidP="002E2C0E">
      <w:pPr>
        <w:rPr>
          <w:rFonts w:ascii="Arial" w:hAnsi="Arial" w:cs="Arial"/>
          <w:b/>
          <w:sz w:val="20"/>
          <w:szCs w:val="20"/>
        </w:rPr>
      </w:pPr>
      <w:r w:rsidRPr="00D57EFC">
        <w:rPr>
          <w:rFonts w:ascii="Arial" w:hAnsi="Arial" w:cs="Arial"/>
          <w:b/>
          <w:sz w:val="20"/>
          <w:szCs w:val="20"/>
        </w:rPr>
        <w:t>Pārskats par progresu kokaīna atkarības ārstēšanas medikamentu jomā</w:t>
      </w:r>
    </w:p>
    <w:p w:rsidR="002E2C0E" w:rsidRPr="00D57EFC" w:rsidRDefault="002E2C0E" w:rsidP="002E2C0E">
      <w:pPr>
        <w:spacing w:after="260" w:line="260" w:lineRule="exact"/>
        <w:rPr>
          <w:rFonts w:ascii="Arial" w:hAnsi="Arial" w:cs="Arial"/>
          <w:sz w:val="20"/>
          <w:szCs w:val="20"/>
        </w:rPr>
      </w:pPr>
      <w:r w:rsidRPr="00D57EFC">
        <w:rPr>
          <w:rFonts w:ascii="Arial" w:hAnsi="Arial" w:cs="Arial"/>
          <w:sz w:val="20"/>
          <w:szCs w:val="20"/>
        </w:rPr>
        <w:t xml:space="preserve">Kokaīns joprojām ir Eiropā visplašāk lietotais nelegālais stimulants, un kokaīna atkarības ārstēšana joprojām sagādā problēmas. No visiem klientiem, kas Eiropā 2012. gadā sāka specializētu ārstēšanos no narkotiku atkarības, 14 % ir atzinuši, ka viņu primārā viela ir kokaīns. </w:t>
      </w:r>
      <w:r w:rsidRPr="00D57EFC">
        <w:rPr>
          <w:rFonts w:ascii="Arial" w:hAnsi="Arial" w:cs="Arial"/>
          <w:b/>
          <w:i/>
          <w:sz w:val="20"/>
          <w:szCs w:val="20"/>
        </w:rPr>
        <w:t>EMCDDA</w:t>
      </w:r>
      <w:r w:rsidRPr="00D57EFC">
        <w:rPr>
          <w:rFonts w:ascii="Arial" w:hAnsi="Arial" w:cs="Arial"/>
          <w:sz w:val="20"/>
          <w:szCs w:val="20"/>
        </w:rPr>
        <w:t xml:space="preserve"> šodien iepazīstina ar metaanalīzi, kurā ir apkopoti seši pārskati, kuros izvērtēta kokaīna problēmu ārstēšanā izmantojamo medikamentu efektivitāte un akceptēšana lietotāju vidū. </w:t>
      </w:r>
      <w:r w:rsidRPr="00D57EFC">
        <w:rPr>
          <w:rFonts w:ascii="Arial" w:hAnsi="Arial" w:cs="Arial"/>
          <w:i/>
          <w:sz w:val="20"/>
          <w:szCs w:val="20"/>
        </w:rPr>
        <w:t>Cochrane Drugs and Alcohol</w:t>
      </w:r>
      <w:r w:rsidRPr="00D57EFC">
        <w:rPr>
          <w:rFonts w:ascii="Arial" w:hAnsi="Arial" w:cs="Arial"/>
          <w:sz w:val="20"/>
          <w:szCs w:val="20"/>
        </w:rPr>
        <w:t xml:space="preserve"> </w:t>
      </w:r>
      <w:r>
        <w:rPr>
          <w:rFonts w:ascii="Arial" w:hAnsi="Arial" w:cs="Arial"/>
          <w:i/>
          <w:sz w:val="20"/>
          <w:szCs w:val="20"/>
        </w:rPr>
        <w:t xml:space="preserve">Group </w:t>
      </w:r>
      <w:r w:rsidRPr="00D57EFC">
        <w:rPr>
          <w:rFonts w:ascii="Arial" w:hAnsi="Arial" w:cs="Arial"/>
          <w:sz w:val="20"/>
          <w:szCs w:val="20"/>
        </w:rPr>
        <w:t xml:space="preserve">sagatavotie sākotnējie pārskati aptver 92 pētījumus (85 no tiem veikti ASV) un vairāk nekā 7000 dalībnieku. </w:t>
      </w:r>
      <w:r w:rsidR="005C3315">
        <w:rPr>
          <w:rFonts w:ascii="Arial" w:hAnsi="Arial" w:cs="Arial"/>
          <w:sz w:val="20"/>
          <w:szCs w:val="20"/>
        </w:rPr>
        <w:t xml:space="preserve">          </w:t>
      </w:r>
      <w:r w:rsidRPr="00D57EFC">
        <w:rPr>
          <w:rFonts w:ascii="Arial" w:hAnsi="Arial" w:cs="Arial"/>
          <w:sz w:val="20"/>
          <w:szCs w:val="20"/>
        </w:rPr>
        <w:t xml:space="preserve">Pētījumi liecina, ka daži medikamenti var samazināt lietotāju tieksmi, tomēr nav atrasts viens konkrēts farmaceitisks risinājums kokaīna atkarības ārstēšanai. Kamēr izpēte šajā jomā turpinās, psihosociāli intervences pasākumi paliek viens no kokaīna lietotāju ārstēšanas pamatelementiem (sk. video). </w:t>
      </w:r>
    </w:p>
    <w:p w:rsidR="002E2C0E" w:rsidRPr="00D57EFC" w:rsidRDefault="002E2C0E" w:rsidP="002E2C0E">
      <w:pPr>
        <w:autoSpaceDE w:val="0"/>
        <w:autoSpaceDN w:val="0"/>
        <w:adjustRightInd w:val="0"/>
        <w:spacing w:after="0" w:line="240" w:lineRule="auto"/>
        <w:rPr>
          <w:rFonts w:ascii="Arial" w:hAnsi="Arial" w:cs="Arial"/>
          <w:b/>
          <w:sz w:val="20"/>
          <w:szCs w:val="20"/>
        </w:rPr>
      </w:pPr>
      <w:r w:rsidRPr="00D57EFC">
        <w:rPr>
          <w:rFonts w:ascii="Arial" w:hAnsi="Arial" w:cs="Arial"/>
          <w:b/>
          <w:sz w:val="20"/>
          <w:szCs w:val="20"/>
        </w:rPr>
        <w:t xml:space="preserve">Uz vietas audzēti kaņepju augi — ievērojams piegādes avots, ievestie sveķi kļūst iedarbīgāki </w:t>
      </w:r>
    </w:p>
    <w:p w:rsidR="002E2C0E" w:rsidRPr="00D57EFC" w:rsidRDefault="002E2C0E" w:rsidP="002E2C0E">
      <w:pPr>
        <w:autoSpaceDE w:val="0"/>
        <w:autoSpaceDN w:val="0"/>
        <w:adjustRightInd w:val="0"/>
        <w:spacing w:after="0" w:line="240" w:lineRule="auto"/>
        <w:rPr>
          <w:rFonts w:ascii="Arial" w:hAnsi="Arial" w:cs="Arial"/>
          <w:b/>
          <w:sz w:val="20"/>
          <w:szCs w:val="20"/>
          <w:highlight w:val="yellow"/>
        </w:rPr>
      </w:pPr>
    </w:p>
    <w:p w:rsidR="002E2C0E" w:rsidRPr="00D57EFC" w:rsidRDefault="002E2C0E" w:rsidP="002E2C0E">
      <w:pPr>
        <w:autoSpaceDE w:val="0"/>
        <w:autoSpaceDN w:val="0"/>
        <w:adjustRightInd w:val="0"/>
        <w:spacing w:after="260" w:line="260" w:lineRule="exact"/>
        <w:rPr>
          <w:rFonts w:ascii="Arial" w:eastAsia="Times New Roman" w:hAnsi="Arial" w:cs="Arial"/>
          <w:sz w:val="20"/>
          <w:szCs w:val="20"/>
          <w:lang w:eastAsia="en-GB"/>
        </w:rPr>
      </w:pPr>
      <w:r w:rsidRPr="00D57EFC">
        <w:rPr>
          <w:rFonts w:ascii="Arial" w:hAnsi="Arial" w:cs="Arial"/>
          <w:sz w:val="20"/>
          <w:szCs w:val="20"/>
        </w:rPr>
        <w:t xml:space="preserve">Eiropa ilgstoši ir bijusi viens no pasaules lielākajiem kaņepju, jo īpaši pārsvarā no </w:t>
      </w:r>
      <w:r w:rsidRPr="00D57EFC">
        <w:rPr>
          <w:rFonts w:ascii="Arial" w:hAnsi="Arial" w:cs="Arial"/>
          <w:b/>
          <w:sz w:val="20"/>
          <w:szCs w:val="20"/>
        </w:rPr>
        <w:t>Marokas</w:t>
      </w:r>
      <w:r w:rsidRPr="00D57EFC">
        <w:rPr>
          <w:rFonts w:ascii="Arial" w:hAnsi="Arial" w:cs="Arial"/>
          <w:sz w:val="20"/>
          <w:szCs w:val="20"/>
        </w:rPr>
        <w:t xml:space="preserve"> ievesto sveķu, patēriņa tirgiem</w:t>
      </w:r>
      <w:r w:rsidRPr="00D57EFC">
        <w:rPr>
          <w:rFonts w:ascii="Arial" w:hAnsi="Arial" w:cs="Arial"/>
          <w:bCs/>
          <w:sz w:val="20"/>
          <w:szCs w:val="20"/>
        </w:rPr>
        <w:t xml:space="preserve">. Aplēses liecina, ka Eiropā katru gadu tiek patērētas 2050 tonnas kaņepju sveķu (hašiša) un kaņepju augu (marihuānas). </w:t>
      </w:r>
      <w:r w:rsidRPr="00D57EFC">
        <w:rPr>
          <w:rFonts w:ascii="Arial" w:hAnsi="Arial" w:cs="Arial"/>
          <w:b/>
          <w:i/>
          <w:sz w:val="20"/>
          <w:szCs w:val="20"/>
        </w:rPr>
        <w:t>EMCDDA</w:t>
      </w:r>
      <w:r w:rsidRPr="00D57EFC">
        <w:rPr>
          <w:rFonts w:ascii="Arial" w:hAnsi="Arial" w:cs="Arial"/>
          <w:sz w:val="20"/>
          <w:szCs w:val="20"/>
        </w:rPr>
        <w:t xml:space="preserve"> informē, ka Eiropas </w:t>
      </w:r>
      <w:r w:rsidRPr="00D57EFC">
        <w:rPr>
          <w:rFonts w:ascii="Arial" w:hAnsi="Arial" w:cs="Arial"/>
          <w:bCs/>
          <w:sz w:val="20"/>
          <w:szCs w:val="20"/>
        </w:rPr>
        <w:t xml:space="preserve">kaņepju </w:t>
      </w:r>
      <w:r w:rsidRPr="00D57EFC">
        <w:rPr>
          <w:rFonts w:ascii="Arial" w:hAnsi="Arial" w:cs="Arial"/>
          <w:sz w:val="20"/>
          <w:szCs w:val="20"/>
        </w:rPr>
        <w:t xml:space="preserve">patēriņa tirgū pašlaik </w:t>
      </w:r>
      <w:r w:rsidRPr="00D57EFC">
        <w:rPr>
          <w:rFonts w:ascii="Arial" w:hAnsi="Arial" w:cs="Arial"/>
          <w:bCs/>
          <w:sz w:val="20"/>
          <w:szCs w:val="20"/>
        </w:rPr>
        <w:t>dominē augu preparāti un vietējā ražojuma marihuāna apmierina vietējā patēriņa vajadzības</w:t>
      </w:r>
      <w:r w:rsidRPr="00D57EFC">
        <w:rPr>
          <w:rFonts w:ascii="Arial" w:eastAsia="Times New Roman" w:hAnsi="Arial" w:cs="Arial"/>
          <w:sz w:val="20"/>
          <w:szCs w:val="20"/>
          <w:lang w:eastAsia="en-GB"/>
        </w:rPr>
        <w:t xml:space="preserve">. Visā </w:t>
      </w:r>
      <w:r w:rsidRPr="00D57EFC">
        <w:rPr>
          <w:rFonts w:ascii="Arial" w:hAnsi="Arial" w:cs="Arial"/>
          <w:sz w:val="20"/>
          <w:szCs w:val="20"/>
        </w:rPr>
        <w:t>Eiropā arvien biežāk ir sastopamas kaņepju plantācijas</w:t>
      </w:r>
      <w:r w:rsidRPr="00D57EFC">
        <w:rPr>
          <w:rFonts w:ascii="Arial" w:eastAsia="Times New Roman" w:hAnsi="Arial" w:cs="Arial"/>
          <w:sz w:val="20"/>
          <w:szCs w:val="20"/>
          <w:lang w:eastAsia="en-GB"/>
        </w:rPr>
        <w:t>.</w:t>
      </w:r>
    </w:p>
    <w:p w:rsidR="002E2C0E" w:rsidRPr="00D57EFC" w:rsidRDefault="002E2C0E" w:rsidP="002E2C0E">
      <w:pPr>
        <w:autoSpaceDE w:val="0"/>
        <w:autoSpaceDN w:val="0"/>
        <w:adjustRightInd w:val="0"/>
        <w:spacing w:after="260" w:line="260" w:lineRule="exact"/>
        <w:rPr>
          <w:rFonts w:ascii="Arial" w:hAnsi="Arial" w:cs="Arial"/>
          <w:color w:val="BFBFBF" w:themeColor="background1" w:themeShade="BF"/>
          <w:sz w:val="20"/>
          <w:szCs w:val="20"/>
        </w:rPr>
      </w:pPr>
      <w:r w:rsidRPr="00D57EFC">
        <w:rPr>
          <w:rFonts w:ascii="Arial" w:hAnsi="Arial" w:cs="Arial"/>
          <w:sz w:val="20"/>
          <w:szCs w:val="20"/>
        </w:rPr>
        <w:t>Pēdējos desmit gados kaņepju augu konfiskācijas gadījumu skaits ir pārsniedzis sveķu konfiskācijas gadījumu skaitu. Eiropā 2012. gadā tika ziņots par 457 000 kaņepju augu konfiskācijas gadījumiem salīdzinājumā ar 258 000 sveķu konfiskācijas gadījumiem. Konfiscēto kaņepju stādu skaits 2012. gadā sasniedza aptuveni septiņus miljonus, vairāk nekā 2,5 reizes pārsniedzot pirms pieciem gadiem paziņoto daudzumu. Bažas rada kaņepju ražošanā pēdējos gados ieviestās inovācijas (</w:t>
      </w:r>
      <w:proofErr w:type="spellStart"/>
      <w:r w:rsidRPr="00D57EFC">
        <w:rPr>
          <w:rFonts w:ascii="Arial" w:hAnsi="Arial" w:cs="Arial"/>
          <w:sz w:val="20"/>
          <w:szCs w:val="20"/>
        </w:rPr>
        <w:t>sk</w:t>
      </w:r>
      <w:proofErr w:type="spellEnd"/>
      <w:r w:rsidRPr="00D57EFC">
        <w:rPr>
          <w:rFonts w:ascii="Arial" w:hAnsi="Arial" w:cs="Arial"/>
          <w:sz w:val="20"/>
          <w:szCs w:val="20"/>
        </w:rPr>
        <w:t xml:space="preserve">. video), kas audzētājiem ļauj  kultivēt augus ar augstu </w:t>
      </w:r>
      <w:r w:rsidRPr="00D57EFC">
        <w:rPr>
          <w:rFonts w:ascii="Arial" w:hAnsi="Arial" w:cs="Arial"/>
          <w:i/>
          <w:sz w:val="20"/>
          <w:szCs w:val="20"/>
        </w:rPr>
        <w:t>THC</w:t>
      </w:r>
      <w:r w:rsidRPr="00D57EFC">
        <w:rPr>
          <w:rFonts w:ascii="Arial" w:hAnsi="Arial" w:cs="Arial"/>
          <w:sz w:val="20"/>
          <w:szCs w:val="20"/>
        </w:rPr>
        <w:t xml:space="preserve"> (kaņepju aktīvā sastāvdaļa) un zemu </w:t>
      </w:r>
      <w:r w:rsidRPr="00D57EFC">
        <w:rPr>
          <w:rFonts w:ascii="Arial" w:hAnsi="Arial" w:cs="Arial"/>
          <w:i/>
          <w:sz w:val="20"/>
          <w:szCs w:val="20"/>
        </w:rPr>
        <w:t>CBD</w:t>
      </w:r>
      <w:r w:rsidRPr="00D57EFC">
        <w:rPr>
          <w:rFonts w:ascii="Arial" w:hAnsi="Arial" w:cs="Arial"/>
          <w:sz w:val="20"/>
          <w:szCs w:val="20"/>
        </w:rPr>
        <w:t xml:space="preserve"> (</w:t>
      </w:r>
      <w:proofErr w:type="spellStart"/>
      <w:r w:rsidRPr="00D57EFC">
        <w:rPr>
          <w:rFonts w:ascii="Arial" w:hAnsi="Arial" w:cs="Arial"/>
          <w:sz w:val="20"/>
          <w:szCs w:val="20"/>
        </w:rPr>
        <w:t>antipsihotiska</w:t>
      </w:r>
      <w:proofErr w:type="spellEnd"/>
      <w:r w:rsidRPr="00D57EFC">
        <w:rPr>
          <w:rFonts w:ascii="Arial" w:hAnsi="Arial" w:cs="Arial"/>
          <w:sz w:val="20"/>
          <w:szCs w:val="20"/>
        </w:rPr>
        <w:t xml:space="preserve"> viela) saturu. Lai gan kopš 2006. gada ir palielinājies abu kaņepju veidu iedarbīgums, laikposmā no 2011. līdz 2012. gadam ir bijis vērojams samērā krass sveķu iedarbīguma pieaugums (</w:t>
      </w:r>
      <w:proofErr w:type="spellStart"/>
      <w:r w:rsidRPr="00D57EFC">
        <w:rPr>
          <w:rFonts w:ascii="Arial" w:hAnsi="Arial" w:cs="Arial"/>
          <w:sz w:val="20"/>
          <w:szCs w:val="20"/>
        </w:rPr>
        <w:t>sk</w:t>
      </w:r>
      <w:proofErr w:type="spellEnd"/>
      <w:r w:rsidRPr="00D57EFC">
        <w:rPr>
          <w:rFonts w:ascii="Arial" w:hAnsi="Arial" w:cs="Arial"/>
          <w:sz w:val="20"/>
          <w:szCs w:val="20"/>
        </w:rPr>
        <w:t xml:space="preserve">. kaņepju </w:t>
      </w:r>
      <w:proofErr w:type="spellStart"/>
      <w:r w:rsidRPr="00D57EFC">
        <w:rPr>
          <w:rFonts w:ascii="Arial" w:hAnsi="Arial" w:cs="Arial"/>
          <w:sz w:val="20"/>
          <w:szCs w:val="20"/>
        </w:rPr>
        <w:t>infografiku</w:t>
      </w:r>
      <w:proofErr w:type="spellEnd"/>
      <w:r w:rsidRPr="00D57EFC">
        <w:rPr>
          <w:rFonts w:ascii="Arial" w:hAnsi="Arial" w:cs="Arial"/>
          <w:sz w:val="20"/>
          <w:szCs w:val="20"/>
        </w:rPr>
        <w:t xml:space="preserve"> ziņojuma par narkotikām 1. nodaļā).</w:t>
      </w:r>
      <w:r w:rsidRPr="00D57EFC">
        <w:rPr>
          <w:rFonts w:ascii="Arial" w:hAnsi="Arial" w:cs="Arial"/>
          <w:sz w:val="20"/>
          <w:szCs w:val="20"/>
          <w:u w:val="single"/>
        </w:rPr>
        <w:t xml:space="preserve"> </w:t>
      </w:r>
    </w:p>
    <w:p w:rsidR="002E2C0E" w:rsidRPr="00D57EFC" w:rsidRDefault="002E2C0E" w:rsidP="002E2C0E">
      <w:pPr>
        <w:spacing w:after="0" w:line="240" w:lineRule="auto"/>
        <w:rPr>
          <w:rFonts w:ascii="Arial" w:hAnsi="Arial" w:cs="Arial"/>
          <w:sz w:val="20"/>
          <w:szCs w:val="20"/>
        </w:rPr>
      </w:pPr>
      <w:r w:rsidRPr="00D57EFC">
        <w:rPr>
          <w:rFonts w:ascii="Arial" w:hAnsi="Arial" w:cs="Arial"/>
          <w:b/>
          <w:sz w:val="20"/>
          <w:szCs w:val="20"/>
        </w:rPr>
        <w:t xml:space="preserve">Narkotiku </w:t>
      </w:r>
      <w:r>
        <w:rPr>
          <w:rFonts w:ascii="Arial" w:hAnsi="Arial" w:cs="Arial"/>
          <w:b/>
          <w:sz w:val="20"/>
          <w:szCs w:val="20"/>
        </w:rPr>
        <w:t>atkarības</w:t>
      </w:r>
      <w:r w:rsidRPr="00D57EFC">
        <w:rPr>
          <w:rFonts w:ascii="Arial" w:hAnsi="Arial" w:cs="Arial"/>
          <w:b/>
          <w:sz w:val="20"/>
          <w:szCs w:val="20"/>
        </w:rPr>
        <w:t xml:space="preserve"> ārstēšana ar interneta starpniecību — jauni narkotiku lietotāju uzrunāšanas veidi</w:t>
      </w:r>
      <w:r w:rsidRPr="00D57EFC">
        <w:rPr>
          <w:rFonts w:ascii="Arial" w:hAnsi="Arial" w:cs="Arial"/>
          <w:sz w:val="20"/>
          <w:szCs w:val="20"/>
        </w:rPr>
        <w:t xml:space="preserve"> </w:t>
      </w:r>
    </w:p>
    <w:p w:rsidR="002E2C0E" w:rsidRPr="00D57EFC" w:rsidRDefault="002E2C0E" w:rsidP="002E2C0E">
      <w:pPr>
        <w:spacing w:after="0" w:line="240" w:lineRule="auto"/>
        <w:rPr>
          <w:rFonts w:ascii="Arial" w:hAnsi="Arial" w:cs="Arial"/>
          <w:sz w:val="20"/>
          <w:szCs w:val="20"/>
        </w:rPr>
      </w:pPr>
    </w:p>
    <w:p w:rsidR="002E2C0E" w:rsidRPr="00D57EFC" w:rsidRDefault="002E2C0E" w:rsidP="002E2C0E">
      <w:pPr>
        <w:spacing w:after="260" w:line="260" w:lineRule="exact"/>
        <w:rPr>
          <w:rFonts w:ascii="Arial" w:hAnsi="Arial" w:cs="Arial"/>
          <w:sz w:val="20"/>
          <w:szCs w:val="20"/>
        </w:rPr>
      </w:pPr>
      <w:r w:rsidRPr="00D57EFC">
        <w:rPr>
          <w:rFonts w:ascii="Arial" w:hAnsi="Arial" w:cs="Arial"/>
          <w:sz w:val="20"/>
          <w:szCs w:val="20"/>
        </w:rPr>
        <w:t xml:space="preserve">Internets </w:t>
      </w:r>
      <w:r>
        <w:rPr>
          <w:rFonts w:ascii="Arial" w:hAnsi="Arial" w:cs="Arial"/>
          <w:sz w:val="20"/>
          <w:szCs w:val="20"/>
        </w:rPr>
        <w:t xml:space="preserve"> tagad i</w:t>
      </w:r>
      <w:r w:rsidRPr="00D57EFC">
        <w:rPr>
          <w:rFonts w:ascii="Arial" w:hAnsi="Arial" w:cs="Arial"/>
          <w:sz w:val="20"/>
          <w:szCs w:val="20"/>
        </w:rPr>
        <w:t xml:space="preserve">r atzīts par piemērotu līdzekli, lai dažādos kontekstos īstenotu ar narkotiku un alkohola lietošanu saistītas izglītības, profilakses un ārstēšanas programmas. </w:t>
      </w:r>
      <w:r w:rsidRPr="00D57EFC">
        <w:rPr>
          <w:rFonts w:ascii="Arial" w:hAnsi="Arial" w:cs="Arial"/>
          <w:b/>
          <w:i/>
          <w:sz w:val="20"/>
          <w:szCs w:val="20"/>
        </w:rPr>
        <w:t>EMCDDA</w:t>
      </w:r>
      <w:r w:rsidRPr="00D57EFC">
        <w:rPr>
          <w:rFonts w:ascii="Arial" w:hAnsi="Arial" w:cs="Arial"/>
          <w:sz w:val="20"/>
          <w:szCs w:val="20"/>
        </w:rPr>
        <w:t xml:space="preserve"> iepazīstina ar aktualitātēm saistībā ar narkotiku lietotāju ārstēšanu ar interneta starpniecību (</w:t>
      </w:r>
      <w:r w:rsidRPr="00D57EFC">
        <w:rPr>
          <w:rFonts w:ascii="Arial" w:hAnsi="Arial" w:cs="Arial"/>
          <w:i/>
          <w:sz w:val="20"/>
          <w:szCs w:val="20"/>
        </w:rPr>
        <w:t>I</w:t>
      </w:r>
      <w:r>
        <w:rPr>
          <w:rFonts w:ascii="Arial" w:hAnsi="Arial" w:cs="Arial"/>
          <w:i/>
          <w:sz w:val="20"/>
          <w:szCs w:val="20"/>
        </w:rPr>
        <w:t>nte</w:t>
      </w:r>
      <w:r w:rsidR="0066622B">
        <w:rPr>
          <w:rFonts w:ascii="Arial" w:hAnsi="Arial" w:cs="Arial"/>
          <w:i/>
          <w:sz w:val="20"/>
          <w:szCs w:val="20"/>
        </w:rPr>
        <w:t>r</w:t>
      </w:r>
      <w:r>
        <w:rPr>
          <w:rFonts w:ascii="Arial" w:hAnsi="Arial" w:cs="Arial"/>
          <w:i/>
          <w:sz w:val="20"/>
          <w:szCs w:val="20"/>
        </w:rPr>
        <w:t>net-based drug treatment — I</w:t>
      </w:r>
      <w:r w:rsidRPr="00D57EFC">
        <w:rPr>
          <w:rFonts w:ascii="Arial" w:hAnsi="Arial" w:cs="Arial"/>
          <w:i/>
          <w:sz w:val="20"/>
          <w:szCs w:val="20"/>
        </w:rPr>
        <w:t>BDT</w:t>
      </w:r>
      <w:r w:rsidRPr="00D57EFC">
        <w:rPr>
          <w:rFonts w:ascii="Arial" w:hAnsi="Arial" w:cs="Arial"/>
          <w:sz w:val="20"/>
          <w:szCs w:val="20"/>
        </w:rPr>
        <w:t xml:space="preserve">), kas pēdējos desmit gados Eiropā ir paplašinājusies,  galvenokārt attiecībā uz kaņepju lietošanu. </w:t>
      </w:r>
      <w:r w:rsidRPr="00D57EFC">
        <w:rPr>
          <w:rFonts w:ascii="Arial" w:hAnsi="Arial" w:cs="Arial"/>
          <w:i/>
          <w:sz w:val="20"/>
          <w:szCs w:val="20"/>
        </w:rPr>
        <w:t>IBDT</w:t>
      </w:r>
      <w:r w:rsidRPr="00D57EFC">
        <w:rPr>
          <w:rFonts w:ascii="Arial" w:hAnsi="Arial" w:cs="Arial"/>
          <w:sz w:val="20"/>
          <w:szCs w:val="20"/>
        </w:rPr>
        <w:t xml:space="preserve"> tiek izmantots pārbaudītu psihosociālu metožu kopums, ko integrē jaunā tīmekļa satura piegādes mehānismā. Lai gan datu aizsardzība un anonimitāte ir svarīgi jautājumi, kam jāpievērš uzmanība, šā veida pakalpojumi var sniegt daudzas priekšrocības — lielāku ģeogrāfisko pārklājumu, pieejamību lietotājiem, kas paliek ārpus specializēto narkotiku palīdzības dienestu redzesloka, un ātrāku palīdzību (nav jāgaida rindā). Līdz ar </w:t>
      </w:r>
      <w:r w:rsidRPr="00D57EFC">
        <w:rPr>
          <w:rFonts w:ascii="Arial" w:hAnsi="Arial" w:cs="Arial"/>
          <w:i/>
          <w:sz w:val="20"/>
          <w:szCs w:val="20"/>
        </w:rPr>
        <w:t>IBDT</w:t>
      </w:r>
      <w:r w:rsidRPr="00D57EFC">
        <w:rPr>
          <w:rFonts w:ascii="Arial" w:hAnsi="Arial" w:cs="Arial"/>
          <w:sz w:val="20"/>
          <w:szCs w:val="20"/>
        </w:rPr>
        <w:t xml:space="preserve"> programmu tālākattīstību tās var kļūt par tradicionālo ārstēšanas pakalpojumu noderīgu papildinājumu, piedāvājot jaunus veidus, kā uzrunāt narkotiku lietotājus, kam vajadzīga palīdzība (</w:t>
      </w:r>
      <w:proofErr w:type="spellStart"/>
      <w:r w:rsidRPr="00D57EFC">
        <w:rPr>
          <w:rFonts w:ascii="Arial" w:hAnsi="Arial" w:cs="Arial"/>
          <w:sz w:val="20"/>
          <w:szCs w:val="20"/>
        </w:rPr>
        <w:t>sk</w:t>
      </w:r>
      <w:proofErr w:type="spellEnd"/>
      <w:r w:rsidRPr="00D57EFC">
        <w:rPr>
          <w:rFonts w:ascii="Arial" w:hAnsi="Arial" w:cs="Arial"/>
          <w:sz w:val="20"/>
          <w:szCs w:val="20"/>
        </w:rPr>
        <w:t xml:space="preserve">. video). </w:t>
      </w:r>
    </w:p>
    <w:p w:rsidR="002E2C0E" w:rsidRDefault="002E2C0E">
      <w:pPr>
        <w:rPr>
          <w:rFonts w:ascii="Arial" w:hAnsi="Arial" w:cs="Arial"/>
          <w:b/>
          <w:sz w:val="20"/>
          <w:szCs w:val="20"/>
        </w:rPr>
      </w:pPr>
      <w:r>
        <w:rPr>
          <w:rFonts w:ascii="Arial" w:hAnsi="Arial" w:cs="Arial"/>
          <w:b/>
          <w:sz w:val="20"/>
          <w:szCs w:val="20"/>
        </w:rPr>
        <w:br w:type="page"/>
      </w:r>
    </w:p>
    <w:p w:rsidR="002E2C0E" w:rsidRPr="002E2C0E" w:rsidRDefault="002E2C0E" w:rsidP="002E2C0E">
      <w:pPr>
        <w:spacing w:after="260" w:line="260" w:lineRule="exact"/>
        <w:rPr>
          <w:rFonts w:ascii="Arial" w:hAnsi="Arial" w:cs="Arial"/>
          <w:b/>
          <w:sz w:val="20"/>
          <w:szCs w:val="20"/>
        </w:rPr>
      </w:pPr>
      <w:r w:rsidRPr="002E2C0E">
        <w:rPr>
          <w:rFonts w:ascii="Arial" w:hAnsi="Arial" w:cs="Arial"/>
          <w:b/>
          <w:sz w:val="20"/>
          <w:szCs w:val="20"/>
        </w:rPr>
        <w:lastRenderedPageBreak/>
        <w:t xml:space="preserve">Šodien tiek publicēti daudzu pilsētu narkotiku notekūdeņu analīzes lielākā pētījuma rezultāti </w:t>
      </w:r>
    </w:p>
    <w:p w:rsidR="002E2C0E" w:rsidRPr="002E2C0E" w:rsidRDefault="002E2C0E" w:rsidP="002E2C0E">
      <w:pPr>
        <w:spacing w:after="0" w:line="260" w:lineRule="exact"/>
        <w:rPr>
          <w:rFonts w:ascii="Arial" w:hAnsi="Arial" w:cs="Arial"/>
          <w:sz w:val="20"/>
          <w:szCs w:val="20"/>
        </w:rPr>
      </w:pPr>
      <w:r w:rsidRPr="002E2C0E">
        <w:rPr>
          <w:rFonts w:ascii="Arial" w:hAnsi="Arial" w:cs="Arial"/>
          <w:sz w:val="20"/>
          <w:szCs w:val="20"/>
        </w:rPr>
        <w:t xml:space="preserve">Šodien tiek publicēti arī Eiropā līdz šim lielākā jaunās notekūdeņu analīzes zinātnes projekta rezultāti. Projektā tika analizēti notekūdeņi vairāk nekā  40 pilsētās (21 valstī), lai izpētītu šo pilsētu iedzīvotāju narkotiku lietošanas paradumus. Pētījuma secinājumi ir iekļauti šim jautājumam veltītā </w:t>
      </w:r>
      <w:r w:rsidRPr="002E2C0E">
        <w:rPr>
          <w:rFonts w:ascii="Arial" w:hAnsi="Arial" w:cs="Arial"/>
          <w:i/>
          <w:sz w:val="20"/>
          <w:szCs w:val="20"/>
        </w:rPr>
        <w:t>EMCDDA</w:t>
      </w:r>
      <w:r w:rsidRPr="002E2C0E">
        <w:rPr>
          <w:rFonts w:ascii="Arial" w:hAnsi="Arial" w:cs="Arial"/>
          <w:sz w:val="20"/>
          <w:szCs w:val="20"/>
        </w:rPr>
        <w:t xml:space="preserve"> </w:t>
      </w:r>
      <w:r w:rsidRPr="002E2C0E">
        <w:rPr>
          <w:rFonts w:ascii="Arial" w:hAnsi="Arial" w:cs="Arial"/>
          <w:i/>
          <w:sz w:val="20"/>
          <w:szCs w:val="20"/>
        </w:rPr>
        <w:t>POD</w:t>
      </w:r>
      <w:r w:rsidRPr="002E2C0E">
        <w:rPr>
          <w:rFonts w:ascii="Arial" w:hAnsi="Arial" w:cs="Arial"/>
          <w:sz w:val="20"/>
          <w:szCs w:val="20"/>
        </w:rPr>
        <w:t xml:space="preserve">. Pētījumā tika analizēti aptuveni 8 miljonu cilvēku notekūdeņi, meklējot piecu nelegālu narkotiku — amfetamīna, kaņepju, kokaīna, </w:t>
      </w:r>
      <w:proofErr w:type="spellStart"/>
      <w:r w:rsidRPr="002E2C0E">
        <w:rPr>
          <w:rFonts w:ascii="Arial" w:hAnsi="Arial" w:cs="Arial"/>
          <w:sz w:val="20"/>
          <w:szCs w:val="20"/>
        </w:rPr>
        <w:t>ekstazī</w:t>
      </w:r>
      <w:proofErr w:type="spellEnd"/>
      <w:r w:rsidRPr="002E2C0E">
        <w:rPr>
          <w:rFonts w:ascii="Arial" w:hAnsi="Arial" w:cs="Arial"/>
          <w:sz w:val="20"/>
          <w:szCs w:val="20"/>
        </w:rPr>
        <w:t xml:space="preserve"> un metamfetamīna — pēdas (ziņu izlaidums </w:t>
      </w:r>
      <w:proofErr w:type="spellStart"/>
      <w:r w:rsidRPr="002E2C0E">
        <w:rPr>
          <w:rFonts w:ascii="Arial" w:hAnsi="Arial" w:cs="Arial"/>
          <w:sz w:val="20"/>
          <w:szCs w:val="20"/>
        </w:rPr>
        <w:t>Nr</w:t>
      </w:r>
      <w:proofErr w:type="spellEnd"/>
      <w:r w:rsidRPr="002E2C0E">
        <w:rPr>
          <w:rFonts w:ascii="Arial" w:hAnsi="Arial" w:cs="Arial"/>
          <w:sz w:val="20"/>
          <w:szCs w:val="20"/>
        </w:rPr>
        <w:t>. 5/2014).</w:t>
      </w:r>
    </w:p>
    <w:p w:rsidR="002E2C0E" w:rsidRPr="002E2C0E" w:rsidRDefault="002E2C0E" w:rsidP="002E2C0E">
      <w:pPr>
        <w:spacing w:after="0" w:line="260" w:lineRule="exact"/>
        <w:rPr>
          <w:rFonts w:ascii="Arial" w:hAnsi="Arial" w:cs="Arial"/>
          <w:color w:val="000000" w:themeColor="text1"/>
          <w:sz w:val="20"/>
          <w:szCs w:val="20"/>
        </w:rPr>
      </w:pPr>
    </w:p>
    <w:p w:rsidR="002E2C0E" w:rsidRPr="002E2C0E" w:rsidRDefault="002E2C0E" w:rsidP="002E2C0E">
      <w:pPr>
        <w:spacing w:after="0" w:line="260" w:lineRule="exact"/>
        <w:rPr>
          <w:rFonts w:ascii="Arial" w:hAnsi="Arial" w:cs="Arial"/>
          <w:color w:val="000000" w:themeColor="text1"/>
          <w:sz w:val="20"/>
          <w:szCs w:val="20"/>
        </w:rPr>
      </w:pPr>
      <w:r w:rsidRPr="002E2C0E">
        <w:rPr>
          <w:rFonts w:ascii="Arial" w:hAnsi="Arial" w:cs="Arial"/>
          <w:color w:val="000000" w:themeColor="text1"/>
          <w:sz w:val="20"/>
          <w:szCs w:val="20"/>
        </w:rPr>
        <w:t xml:space="preserve">Rezultāti sniedz vērtīgu aktuālu informāciju par narkotiku plūsmu caur pētījumā iesaistītajām pilsētām, atklājot ievērojamas reģionālas atšķirības narkotiku lietošanas ieviržu ziņā. Piemēram, kokaīna atlieku koncentrācija ir lielāka rietumu un dažās dienvidu pilsētās, bet zemāka ziemeļu un austrumu pilsētās. Amfetamīna lietošanas izplatība ir samērā vienmērīga, tomēr visaugstākais patēriņa līmenis konstatēts Eiropas ziemeļos un ziemeļrietumos. Šķiet, ka metamfetamīna lietošana, kas kopumā ir maz izplatīta un tradicionāli koncentrēta Centrāleiropā, pašlaik paplašinās. Narkotiku lietošanas iknedēļas paradumu analīze liecina, ka kokaīna un </w:t>
      </w:r>
      <w:proofErr w:type="spellStart"/>
      <w:r w:rsidRPr="002E2C0E">
        <w:rPr>
          <w:rFonts w:ascii="Arial" w:hAnsi="Arial" w:cs="Arial"/>
          <w:color w:val="000000" w:themeColor="text1"/>
          <w:sz w:val="20"/>
          <w:szCs w:val="20"/>
        </w:rPr>
        <w:t>ekstazī</w:t>
      </w:r>
      <w:proofErr w:type="spellEnd"/>
      <w:r w:rsidRPr="002E2C0E">
        <w:rPr>
          <w:rFonts w:ascii="Arial" w:hAnsi="Arial" w:cs="Arial"/>
          <w:color w:val="000000" w:themeColor="text1"/>
          <w:sz w:val="20"/>
          <w:szCs w:val="20"/>
        </w:rPr>
        <w:t xml:space="preserve"> patēriņa līmenis nedēļas nogalēs lielākajā daļā pilsētu krasi paaugstinās, savukārt metamfetamīna un kaņepju lietošanas sadalījums nedēļas laikā šķiet vienmērīgāks.</w:t>
      </w:r>
    </w:p>
    <w:p w:rsidR="002E2C0E" w:rsidRPr="002E2C0E" w:rsidRDefault="002E2C0E" w:rsidP="002E2C0E">
      <w:pPr>
        <w:spacing w:before="100" w:beforeAutospacing="1"/>
        <w:rPr>
          <w:rFonts w:ascii="Arial" w:hAnsi="Arial" w:cs="Arial"/>
          <w:sz w:val="20"/>
          <w:szCs w:val="20"/>
        </w:rPr>
      </w:pPr>
      <w:r w:rsidRPr="002E2C0E">
        <w:rPr>
          <w:rFonts w:ascii="Arial" w:hAnsi="Arial" w:cs="Arial"/>
          <w:b/>
          <w:i/>
          <w:sz w:val="20"/>
          <w:szCs w:val="20"/>
        </w:rPr>
        <w:t>EMCDDA</w:t>
      </w:r>
      <w:r w:rsidRPr="002E2C0E">
        <w:rPr>
          <w:rFonts w:ascii="Arial" w:hAnsi="Arial" w:cs="Arial"/>
          <w:b/>
          <w:sz w:val="20"/>
          <w:szCs w:val="20"/>
        </w:rPr>
        <w:t xml:space="preserve"> valdes priekšsēdētājs </w:t>
      </w:r>
      <w:proofErr w:type="spellStart"/>
      <w:r w:rsidRPr="002E2C0E">
        <w:rPr>
          <w:rFonts w:ascii="Arial" w:hAnsi="Arial" w:cs="Arial"/>
          <w:b/>
          <w:i/>
          <w:sz w:val="20"/>
          <w:szCs w:val="20"/>
        </w:rPr>
        <w:t>João</w:t>
      </w:r>
      <w:proofErr w:type="spellEnd"/>
      <w:r w:rsidRPr="002E2C0E">
        <w:rPr>
          <w:rFonts w:ascii="Arial" w:hAnsi="Arial" w:cs="Arial"/>
          <w:b/>
          <w:i/>
          <w:sz w:val="20"/>
          <w:szCs w:val="20"/>
        </w:rPr>
        <w:t xml:space="preserve"> </w:t>
      </w:r>
      <w:proofErr w:type="spellStart"/>
      <w:r w:rsidRPr="002E2C0E">
        <w:rPr>
          <w:rFonts w:ascii="Arial" w:hAnsi="Arial" w:cs="Arial"/>
          <w:b/>
          <w:i/>
          <w:sz w:val="20"/>
          <w:szCs w:val="20"/>
        </w:rPr>
        <w:t>Goulão</w:t>
      </w:r>
      <w:proofErr w:type="spellEnd"/>
      <w:r w:rsidRPr="002E2C0E">
        <w:rPr>
          <w:rFonts w:ascii="Arial" w:hAnsi="Arial" w:cs="Arial"/>
          <w:sz w:val="20"/>
          <w:szCs w:val="20"/>
        </w:rPr>
        <w:t xml:space="preserve"> saka: “Šogad </w:t>
      </w:r>
      <w:r w:rsidRPr="002E2C0E">
        <w:rPr>
          <w:rFonts w:ascii="Arial" w:eastAsia="Times New Roman" w:hAnsi="Arial" w:cs="Arial"/>
          <w:i/>
          <w:sz w:val="20"/>
          <w:szCs w:val="20"/>
          <w:lang w:eastAsia="en-GB"/>
        </w:rPr>
        <w:t>EMCDDA</w:t>
      </w:r>
      <w:r w:rsidRPr="002E2C0E">
        <w:rPr>
          <w:rFonts w:ascii="Arial" w:eastAsia="Times New Roman" w:hAnsi="Arial" w:cs="Arial"/>
          <w:sz w:val="20"/>
          <w:szCs w:val="20"/>
          <w:lang w:eastAsia="en-GB"/>
        </w:rPr>
        <w:t xml:space="preserve"> vērš uzmanību uz jaunu problēmu klāstu, ko rada stimulantu un citu narkotiku lietošana. Konkrēti, aģentūra analizē jauno un augošo pierādījumu bāzi ar </w:t>
      </w:r>
      <w:r w:rsidRPr="002E2C0E">
        <w:rPr>
          <w:rFonts w:ascii="Arial" w:hAnsi="Arial" w:cs="Arial"/>
          <w:sz w:val="20"/>
          <w:szCs w:val="20"/>
        </w:rPr>
        <w:t>kokaīna, metamfetamīna un kaņepju lietošanu saistīto problēmu ārstēšanas jomā</w:t>
      </w:r>
      <w:r w:rsidRPr="002E2C0E">
        <w:rPr>
          <w:rFonts w:ascii="Arial" w:eastAsia="Times New Roman" w:hAnsi="Arial" w:cs="Arial"/>
          <w:sz w:val="20"/>
          <w:szCs w:val="20"/>
          <w:lang w:eastAsia="en-GB"/>
        </w:rPr>
        <w:t xml:space="preserve">. Kopīgs elements šeit ir </w:t>
      </w:r>
      <w:proofErr w:type="spellStart"/>
      <w:r w:rsidRPr="002E2C0E">
        <w:rPr>
          <w:rFonts w:ascii="Arial" w:eastAsia="Times New Roman" w:hAnsi="Arial" w:cs="Arial"/>
          <w:sz w:val="20"/>
          <w:szCs w:val="20"/>
          <w:lang w:eastAsia="en-GB"/>
        </w:rPr>
        <w:t>psihosociālo</w:t>
      </w:r>
      <w:proofErr w:type="spellEnd"/>
      <w:r w:rsidRPr="002E2C0E">
        <w:rPr>
          <w:rFonts w:ascii="Arial" w:eastAsia="Times New Roman" w:hAnsi="Arial" w:cs="Arial"/>
          <w:sz w:val="20"/>
          <w:szCs w:val="20"/>
          <w:lang w:eastAsia="en-GB"/>
        </w:rPr>
        <w:t xml:space="preserve"> intervences pasākumu svarīgā nozīme, jo šie pasākumi ir vērtīga tā terapeitisko pasākumu kopuma daļa, kuri tiek izmantoti, lai risinātu mūsdienu narkotiku problēmas”. </w:t>
      </w:r>
    </w:p>
    <w:sectPr w:rsidR="002E2C0E" w:rsidRPr="002E2C0E" w:rsidSect="002E2C0E">
      <w:headerReference w:type="default" r:id="rId10"/>
      <w:footerReference w:type="default" r:id="rId11"/>
      <w:footerReference w:type="first" r:id="rId12"/>
      <w:type w:val="continuous"/>
      <w:pgSz w:w="11906" w:h="16838" w:code="9"/>
      <w:pgMar w:top="1249" w:right="1276" w:bottom="1304" w:left="1276" w:header="73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13F" w:rsidRDefault="007B013F" w:rsidP="009A28FB">
      <w:pPr>
        <w:spacing w:after="0" w:line="240" w:lineRule="auto"/>
      </w:pPr>
      <w:r>
        <w:separator/>
      </w:r>
    </w:p>
  </w:endnote>
  <w:endnote w:type="continuationSeparator" w:id="0">
    <w:p w:rsidR="007B013F" w:rsidRDefault="007B013F" w:rsidP="009A2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4994" w:type="dxa"/>
      <w:tblInd w:w="-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9214"/>
      <w:gridCol w:w="5780"/>
    </w:tblGrid>
    <w:tr w:rsidR="00BF1E3B" w:rsidTr="00157141">
      <w:tc>
        <w:tcPr>
          <w:tcW w:w="9214" w:type="dxa"/>
        </w:tcPr>
        <w:p w:rsidR="00BF1E3B" w:rsidRDefault="00BF1E3B" w:rsidP="00157141">
          <w:pPr>
            <w:pStyle w:val="newsCoordinates"/>
          </w:pPr>
          <w:r>
            <w:rPr>
              <w:noProof/>
              <w:lang w:val="en-GB" w:eastAsia="en-GB"/>
            </w:rPr>
            <mc:AlternateContent>
              <mc:Choice Requires="wps">
                <w:drawing>
                  <wp:anchor distT="0" distB="0" distL="114300" distR="114300" simplePos="0" relativeHeight="251655680" behindDoc="1" locked="0" layoutInCell="1" allowOverlap="1" wp14:anchorId="1903B961" wp14:editId="3EEB7875">
                    <wp:simplePos x="0" y="0"/>
                    <wp:positionH relativeFrom="page">
                      <wp:posOffset>35560</wp:posOffset>
                    </wp:positionH>
                    <wp:positionV relativeFrom="page">
                      <wp:posOffset>15240</wp:posOffset>
                    </wp:positionV>
                    <wp:extent cx="1" cy="108000"/>
                    <wp:effectExtent l="0" t="0" r="19050" b="25400"/>
                    <wp:wrapNone/>
                    <wp:docPr id="14" name="Straight Connector 14"/>
                    <wp:cNvGraphicFramePr/>
                    <a:graphic xmlns:a="http://schemas.openxmlformats.org/drawingml/2006/main">
                      <a:graphicData uri="http://schemas.microsoft.com/office/word/2010/wordprocessingShape">
                        <wps:wsp>
                          <wps:cNvCnPr/>
                          <wps:spPr>
                            <a:xfrm flipH="1">
                              <a:off x="0" y="0"/>
                              <a:ext cx="1" cy="108000"/>
                            </a:xfrm>
                            <a:prstGeom prst="line">
                              <a:avLst/>
                            </a:prstGeom>
                            <a:ln w="19050">
                              <a:solidFill>
                                <a:srgbClr val="0000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 o:spid="_x0000_s1026" style="position:absolute;flip:x;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2.8pt,1.2pt" to="2.8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" strokecolor="#009" strokeweight="1.5pt">
                    <w10:wrap anchorx="page" anchory="page"/>
                  </v:line>
                </w:pict>
              </mc:Fallback>
            </mc:AlternateContent>
          </w:r>
          <w:r w:rsidR="002E2C0E">
            <w:rPr>
              <w:noProof/>
              <w:lang w:eastAsia="en-GB"/>
            </w:rPr>
            <w:t xml:space="preserve"> Perspektīvas narkotiku jomā</w:t>
          </w:r>
          <w:r w:rsidR="002E2C0E">
            <w:rPr>
              <w:noProof/>
              <w:lang w:val="en-GB" w:eastAsia="en-GB"/>
            </w:rPr>
            <mc:AlternateContent>
              <mc:Choice Requires="wps">
                <w:drawing>
                  <wp:anchor distT="0" distB="0" distL="114299" distR="114299" simplePos="0" relativeHeight="251657728" behindDoc="1" locked="0" layoutInCell="1" allowOverlap="1" wp14:anchorId="6A78FF83" wp14:editId="3EEF2AB8">
                    <wp:simplePos x="0" y="0"/>
                    <wp:positionH relativeFrom="page">
                      <wp:posOffset>35559</wp:posOffset>
                    </wp:positionH>
                    <wp:positionV relativeFrom="page">
                      <wp:posOffset>15240</wp:posOffset>
                    </wp:positionV>
                    <wp:extent cx="0" cy="107950"/>
                    <wp:effectExtent l="0" t="0" r="19050" b="254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07950"/>
                            </a:xfrm>
                            <a:prstGeom prst="line">
                              <a:avLst/>
                            </a:prstGeom>
                            <a:ln w="19050">
                              <a:solidFill>
                                <a:srgbClr val="0000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flip:x;z-index:-25164902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margin;mso-height-relative:margin" from="2.8pt,1.2pt" to="2.8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" strokecolor="#009" strokeweight="1.5pt">
                    <o:lock v:ext="edit" shapetype="f"/>
                    <w10:wrap anchorx="page" anchory="page"/>
                  </v:line>
                </w:pict>
              </mc:Fallback>
            </mc:AlternateContent>
          </w:r>
          <w:r w:rsidR="002E2C0E">
            <w:rPr>
              <w:noProof/>
              <w:lang w:eastAsia="en-GB"/>
            </w:rPr>
            <w:t xml:space="preserve"> (</w:t>
          </w:r>
          <w:r w:rsidR="002E2C0E" w:rsidRPr="00F216CC">
            <w:rPr>
              <w:i/>
              <w:noProof/>
              <w:lang w:eastAsia="en-GB"/>
            </w:rPr>
            <w:t>Perspectives on drugs</w:t>
          </w:r>
          <w:r w:rsidR="002E2C0E">
            <w:rPr>
              <w:i/>
              <w:noProof/>
              <w:lang w:eastAsia="en-GB"/>
            </w:rPr>
            <w:t>/</w:t>
          </w:r>
          <w:r w:rsidR="002E2C0E" w:rsidRPr="00F216CC">
            <w:rPr>
              <w:i/>
              <w:noProof/>
              <w:lang w:eastAsia="en-GB"/>
            </w:rPr>
            <w:t>POD</w:t>
          </w:r>
          <w:r w:rsidR="002E2C0E">
            <w:rPr>
              <w:noProof/>
              <w:lang w:eastAsia="en-GB"/>
            </w:rPr>
            <w:t>) angļu valodā ir pieejamas tīmekļa vietnē www.emcdda.europa.eu/edr2014.</w:t>
          </w:r>
        </w:p>
      </w:tc>
      <w:tc>
        <w:tcPr>
          <w:tcW w:w="5780" w:type="dxa"/>
          <w:vAlign w:val="bottom"/>
        </w:tcPr>
        <w:p w:rsidR="00BF1E3B" w:rsidRDefault="00BF1E3B" w:rsidP="002E2C0E">
          <w:pPr>
            <w:pStyle w:val="newsReference"/>
          </w:pPr>
        </w:p>
      </w:tc>
    </w:tr>
  </w:tbl>
  <w:p w:rsidR="00BF1E3B" w:rsidRDefault="00BF1E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3075" w:type="dxa"/>
      <w:tblInd w:w="-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9781"/>
      <w:gridCol w:w="3294"/>
    </w:tblGrid>
    <w:tr w:rsidR="0063677C" w:rsidTr="0066622B">
      <w:trPr>
        <w:trHeight w:val="705"/>
      </w:trPr>
      <w:tc>
        <w:tcPr>
          <w:tcW w:w="9781" w:type="dxa"/>
        </w:tcPr>
        <w:p w:rsidR="0063677C" w:rsidRDefault="00025C96" w:rsidP="00157141">
          <w:pPr>
            <w:pStyle w:val="newsCoordinates"/>
          </w:pPr>
          <w:r w:rsidRPr="00025C96">
            <w:t xml:space="preserve">Kontaktpersona: </w:t>
          </w:r>
          <w:proofErr w:type="spellStart"/>
          <w:r w:rsidRPr="00025C96">
            <w:t>Kathy</w:t>
          </w:r>
          <w:proofErr w:type="spellEnd"/>
          <w:r w:rsidRPr="00025C96">
            <w:t xml:space="preserve"> </w:t>
          </w:r>
          <w:proofErr w:type="spellStart"/>
          <w:r w:rsidRPr="00025C96">
            <w:t>Robertson</w:t>
          </w:r>
          <w:proofErr w:type="spellEnd"/>
          <w:r w:rsidRPr="00025C96">
            <w:t>, preses sekretāre</w:t>
          </w:r>
          <w:r w:rsidR="0063677C">
            <w:rPr>
              <w:noProof/>
              <w:lang w:val="en-GB" w:eastAsia="en-GB"/>
            </w:rPr>
            <mc:AlternateContent>
              <mc:Choice Requires="wps">
                <w:drawing>
                  <wp:anchor distT="0" distB="0" distL="114300" distR="114300" simplePos="0" relativeHeight="251656704" behindDoc="1" locked="0" layoutInCell="1" allowOverlap="1" wp14:anchorId="0A7212F2" wp14:editId="554D885B">
                    <wp:simplePos x="0" y="0"/>
                    <wp:positionH relativeFrom="page">
                      <wp:posOffset>32385</wp:posOffset>
                    </wp:positionH>
                    <wp:positionV relativeFrom="page">
                      <wp:posOffset>-14605</wp:posOffset>
                    </wp:positionV>
                    <wp:extent cx="0" cy="431800"/>
                    <wp:effectExtent l="0" t="0" r="19050" b="25400"/>
                    <wp:wrapNone/>
                    <wp:docPr id="4" name="Straight Connector 4"/>
                    <wp:cNvGraphicFramePr/>
                    <a:graphic xmlns:a="http://schemas.openxmlformats.org/drawingml/2006/main">
                      <a:graphicData uri="http://schemas.microsoft.com/office/word/2010/wordprocessingShape">
                        <wps:wsp>
                          <wps:cNvCnPr/>
                          <wps:spPr>
                            <a:xfrm>
                              <a:off x="0" y="0"/>
                              <a:ext cx="0" cy="431800"/>
                            </a:xfrm>
                            <a:prstGeom prst="line">
                              <a:avLst/>
                            </a:prstGeom>
                            <a:ln w="19050">
                              <a:solidFill>
                                <a:srgbClr val="000099"/>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4" o:spid="_x0000_s1026" style="position:absolute;z-index:-25165107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2.55pt,-1.15pt" to="2.5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" strokecolor="#009" strokeweight="1.5pt">
                    <w10:wrap anchorx="page" anchory="page"/>
                  </v:line>
                </w:pict>
              </mc:Fallback>
            </mc:AlternateContent>
          </w:r>
          <w:r w:rsidR="0063677C">
            <w:t xml:space="preserve"> </w:t>
          </w:r>
        </w:p>
        <w:p w:rsidR="0063677C" w:rsidRDefault="00025C96" w:rsidP="00157141">
          <w:pPr>
            <w:pStyle w:val="newsCoordinates"/>
          </w:pPr>
          <w:r w:rsidRPr="00025C96">
            <w:t>Praça Europa 1, Cais do Sodré, 1249-289 Lisabona, Portugāle</w:t>
          </w:r>
        </w:p>
        <w:p w:rsidR="0063677C" w:rsidRDefault="00025C96" w:rsidP="00157141">
          <w:pPr>
            <w:pStyle w:val="newsCoordinates"/>
          </w:pPr>
          <w:r w:rsidRPr="00025C96">
            <w:t>Tālr. (351) 211 21 02</w:t>
          </w:r>
          <w:r w:rsidR="00944227" w:rsidRPr="00944227">
            <w:t xml:space="preserve"> 00</w:t>
          </w:r>
          <w:r w:rsidR="0063677C">
            <w:t xml:space="preserve"> </w:t>
          </w:r>
          <w:r w:rsidR="0063677C" w:rsidRPr="00FC0187">
            <w:rPr>
              <w:sz w:val="18"/>
            </w:rPr>
            <w:t xml:space="preserve">I </w:t>
          </w:r>
          <w:proofErr w:type="spellStart"/>
          <w:r w:rsidR="0063677C">
            <w:t>press@emcdda.europa.eu</w:t>
          </w:r>
          <w:proofErr w:type="spellEnd"/>
          <w:r w:rsidR="0063677C">
            <w:t xml:space="preserve"> </w:t>
          </w:r>
          <w:r w:rsidR="0063677C" w:rsidRPr="00FC0187">
            <w:rPr>
              <w:sz w:val="18"/>
            </w:rPr>
            <w:t>I</w:t>
          </w:r>
          <w:r w:rsidR="0063677C">
            <w:t xml:space="preserve"> </w:t>
          </w:r>
          <w:proofErr w:type="spellStart"/>
          <w:r w:rsidR="0063677C">
            <w:t>emcdda.europa.eu</w:t>
          </w:r>
          <w:proofErr w:type="spellEnd"/>
          <w:r w:rsidR="0066622B">
            <w:t xml:space="preserve">                                                                                             </w:t>
          </w:r>
          <w:r w:rsidR="0066622B" w:rsidRPr="00025C96">
            <w:t xml:space="preserve">LV — </w:t>
          </w:r>
          <w:proofErr w:type="spellStart"/>
          <w:r w:rsidR="0066622B" w:rsidRPr="00025C96">
            <w:t>Nr</w:t>
          </w:r>
          <w:proofErr w:type="spellEnd"/>
          <w:r w:rsidR="0066622B" w:rsidRPr="00025C96">
            <w:t xml:space="preserve">. </w:t>
          </w:r>
          <w:r w:rsidR="0066622B">
            <w:t>4</w:t>
          </w:r>
          <w:r w:rsidR="0066622B" w:rsidRPr="00FC0187">
            <w:t>/</w:t>
          </w:r>
          <w:r w:rsidR="0066622B">
            <w:t xml:space="preserve">2014                                                                </w:t>
          </w:r>
        </w:p>
      </w:tc>
      <w:tc>
        <w:tcPr>
          <w:tcW w:w="3294" w:type="dxa"/>
          <w:vAlign w:val="bottom"/>
        </w:tcPr>
        <w:p w:rsidR="0063677C" w:rsidRDefault="00025C96" w:rsidP="002E2C0E">
          <w:pPr>
            <w:pStyle w:val="newsReference"/>
          </w:pPr>
          <w:r w:rsidRPr="00025C96">
            <w:t xml:space="preserve">LV — </w:t>
          </w:r>
          <w:proofErr w:type="spellStart"/>
          <w:r w:rsidRPr="00025C96">
            <w:t>Nr</w:t>
          </w:r>
          <w:proofErr w:type="spellEnd"/>
          <w:r w:rsidRPr="00025C96">
            <w:t>. N/YYYY</w:t>
          </w:r>
        </w:p>
      </w:tc>
    </w:tr>
  </w:tbl>
  <w:p w:rsidR="0063677C" w:rsidRDefault="0063677C" w:rsidP="0066622B">
    <w:pPr>
      <w:pStyle w:val="Footer"/>
      <w:ind w:right="28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13F" w:rsidRDefault="007B013F" w:rsidP="009A28FB">
      <w:pPr>
        <w:spacing w:after="0" w:line="240" w:lineRule="auto"/>
      </w:pPr>
      <w:r>
        <w:separator/>
      </w:r>
    </w:p>
  </w:footnote>
  <w:footnote w:type="continuationSeparator" w:id="0">
    <w:p w:rsidR="007B013F" w:rsidRDefault="007B013F" w:rsidP="009A28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27751" w:type="dxa"/>
      <w:tblInd w:w="-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10065"/>
      <w:gridCol w:w="7196"/>
      <w:gridCol w:w="7196"/>
      <w:gridCol w:w="3294"/>
    </w:tblGrid>
    <w:tr w:rsidR="002E2C0E" w:rsidTr="002E2C0E">
      <w:tc>
        <w:tcPr>
          <w:tcW w:w="10065" w:type="dxa"/>
        </w:tcPr>
        <w:p w:rsidR="002E2C0E" w:rsidRPr="0098084A" w:rsidRDefault="00157141" w:rsidP="00157141">
          <w:pPr>
            <w:pStyle w:val="newsEmbargo"/>
            <w:rPr>
              <w:lang w:val="sv-SE"/>
            </w:rPr>
          </w:pPr>
          <w:r>
            <w:rPr>
              <w:noProof/>
              <w:highlight w:val="yellow"/>
              <w:lang w:eastAsia="en-GB"/>
            </w:rPr>
            <w:pict w14:anchorId="1ADA110E">
              <v:line id="Straight Connector 11" o:spid="_x0000_s2052" style="position:absolute;left:0;text-align:left;z-index:-251656704;visibility:visible;mso-position-horizontal-relative:page;mso-position-vertical-relative:page;mso-height-relative:margin" from="2.8pt,-.1pt" to="2.8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" strokecolor="#009" strokeweight="1.5pt">
                <w10:wrap anchorx="page" anchory="page"/>
              </v:line>
            </w:pict>
          </w:r>
          <w:r w:rsidR="002E2C0E" w:rsidRPr="0098084A">
            <w:rPr>
              <w:noProof/>
              <w:lang w:val="sv-SE" w:eastAsia="en-GB"/>
            </w:rPr>
            <w:t xml:space="preserve">Perspektīvas narkotiku jomā </w:t>
          </w:r>
          <w:r w:rsidR="002E2C0E" w:rsidRPr="0098084A">
            <w:rPr>
              <w:noProof/>
              <w:sz w:val="18"/>
              <w:lang w:val="sv-SE" w:eastAsia="en-GB"/>
            </w:rPr>
            <w:t>I</w:t>
          </w:r>
          <w:r w:rsidR="002E2C0E" w:rsidRPr="0098084A">
            <w:rPr>
              <w:noProof/>
              <w:lang w:val="sv-SE" w:eastAsia="en-GB"/>
            </w:rPr>
            <w:t xml:space="preserve"> </w:t>
          </w:r>
          <w:r w:rsidR="002E2C0E" w:rsidRPr="00157141">
            <w:rPr>
              <w:b/>
              <w:noProof/>
              <w:color w:val="FF0000"/>
              <w:lang w:val="sv-SE" w:eastAsia="en-GB"/>
            </w:rPr>
            <w:t>EMBARGO 10:00 WET/Lisabonas laiks</w:t>
          </w:r>
          <w:r w:rsidR="002E2C0E" w:rsidRPr="00157141">
            <w:rPr>
              <w:noProof/>
              <w:color w:val="FF0000"/>
              <w:lang w:val="sv-SE" w:eastAsia="en-GB"/>
            </w:rPr>
            <w:t xml:space="preserve">                                                                            </w:t>
          </w:r>
          <w:r w:rsidR="002E2C0E">
            <w:rPr>
              <w:noProof/>
              <w:lang w:val="sv-SE" w:eastAsia="en-GB"/>
            </w:rPr>
            <w:t xml:space="preserve">27.5.2014                                         </w:t>
          </w:r>
        </w:p>
      </w:tc>
      <w:tc>
        <w:tcPr>
          <w:tcW w:w="7196" w:type="dxa"/>
          <w:vAlign w:val="bottom"/>
        </w:tcPr>
        <w:p w:rsidR="002E2C0E" w:rsidRDefault="002E2C0E" w:rsidP="00FC15E4">
          <w:pPr>
            <w:pStyle w:val="newsReference"/>
          </w:pPr>
          <w:r>
            <w:t>27</w:t>
          </w:r>
          <w:r w:rsidRPr="00CC4FDA">
            <w:t>.</w:t>
          </w:r>
          <w:r>
            <w:t>5</w:t>
          </w:r>
          <w:r w:rsidRPr="00CC4FDA">
            <w:t>.201</w:t>
          </w:r>
          <w:r>
            <w:t>4.</w:t>
          </w:r>
        </w:p>
      </w:tc>
      <w:tc>
        <w:tcPr>
          <w:tcW w:w="7196" w:type="dxa"/>
        </w:tcPr>
        <w:p w:rsidR="002E2C0E" w:rsidRPr="002E2C0E" w:rsidRDefault="002E2C0E" w:rsidP="00157141">
          <w:pPr>
            <w:pStyle w:val="newsEmbargo"/>
            <w:rPr>
              <w:highlight w:val="yellow"/>
            </w:rPr>
          </w:pPr>
          <w:r w:rsidRPr="002E2C0E">
            <w:rPr>
              <w:noProof/>
              <w:highlight w:val="yellow"/>
              <w:lang w:val="en-GB" w:eastAsia="en-GB"/>
            </w:rPr>
            <mc:AlternateContent>
              <mc:Choice Requires="wps">
                <w:drawing>
                  <wp:anchor distT="0" distB="0" distL="114300" distR="114300" simplePos="0" relativeHeight="251658752" behindDoc="1" locked="0" layoutInCell="1" allowOverlap="1" wp14:anchorId="7222A953" wp14:editId="36C6BB95">
                    <wp:simplePos x="0" y="0"/>
                    <wp:positionH relativeFrom="page">
                      <wp:posOffset>35560</wp:posOffset>
                    </wp:positionH>
                    <wp:positionV relativeFrom="page">
                      <wp:posOffset>-1270</wp:posOffset>
                    </wp:positionV>
                    <wp:extent cx="0" cy="124460"/>
                    <wp:effectExtent l="0" t="0" r="19050" b="27940"/>
                    <wp:wrapNone/>
                    <wp:docPr id="11" name="Straight Connector 11"/>
                    <wp:cNvGraphicFramePr/>
                    <a:graphic xmlns:a="http://schemas.openxmlformats.org/drawingml/2006/main">
                      <a:graphicData uri="http://schemas.microsoft.com/office/word/2010/wordprocessingShape">
                        <wps:wsp>
                          <wps:cNvCnPr/>
                          <wps:spPr>
                            <a:xfrm>
                              <a:off x="0" y="0"/>
                              <a:ext cx="0" cy="124460"/>
                            </a:xfrm>
                            <a:prstGeom prst="line">
                              <a:avLst/>
                            </a:prstGeom>
                            <a:ln w="19050">
                              <a:solidFill>
                                <a:srgbClr val="000099"/>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1" o:spid="_x0000_s1026" style="position:absolute;z-index:-25164492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2.8pt,-.1pt" to="2.8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" strokecolor="#009" strokeweight="1.5pt">
                    <w10:wrap anchorx="page" anchory="page"/>
                  </v:line>
                </w:pict>
              </mc:Fallback>
            </mc:AlternateContent>
          </w:r>
        </w:p>
      </w:tc>
      <w:tc>
        <w:tcPr>
          <w:tcW w:w="3294" w:type="dxa"/>
          <w:vAlign w:val="bottom"/>
        </w:tcPr>
        <w:p w:rsidR="002E2C0E" w:rsidRPr="002E2C0E" w:rsidRDefault="002E2C0E" w:rsidP="002E2C0E">
          <w:pPr>
            <w:pStyle w:val="newsReference"/>
            <w:rPr>
              <w:highlight w:val="yellow"/>
            </w:rPr>
          </w:pPr>
          <w:r w:rsidRPr="002E2C0E">
            <w:rPr>
              <w:highlight w:val="yellow"/>
            </w:rPr>
            <w:t>26.9.2013</w:t>
          </w:r>
        </w:p>
      </w:tc>
    </w:tr>
  </w:tbl>
  <w:p w:rsidR="00BF1E3B" w:rsidRDefault="00BF1E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13F"/>
    <w:rsid w:val="00014E8E"/>
    <w:rsid w:val="00025C96"/>
    <w:rsid w:val="00036DAA"/>
    <w:rsid w:val="000535B7"/>
    <w:rsid w:val="00067DD3"/>
    <w:rsid w:val="00075735"/>
    <w:rsid w:val="000C6200"/>
    <w:rsid w:val="000D25B6"/>
    <w:rsid w:val="00105BFC"/>
    <w:rsid w:val="00107C96"/>
    <w:rsid w:val="00157141"/>
    <w:rsid w:val="0017713E"/>
    <w:rsid w:val="001800D0"/>
    <w:rsid w:val="001A3338"/>
    <w:rsid w:val="001C795A"/>
    <w:rsid w:val="001D5C26"/>
    <w:rsid w:val="001E39A7"/>
    <w:rsid w:val="001F70B4"/>
    <w:rsid w:val="00223753"/>
    <w:rsid w:val="002557B0"/>
    <w:rsid w:val="002646E4"/>
    <w:rsid w:val="0027252D"/>
    <w:rsid w:val="0028141E"/>
    <w:rsid w:val="002948E2"/>
    <w:rsid w:val="002A61F7"/>
    <w:rsid w:val="002B05CE"/>
    <w:rsid w:val="002B45AC"/>
    <w:rsid w:val="002E2C0E"/>
    <w:rsid w:val="0030486D"/>
    <w:rsid w:val="00317B5A"/>
    <w:rsid w:val="0033158E"/>
    <w:rsid w:val="00351881"/>
    <w:rsid w:val="0036121D"/>
    <w:rsid w:val="00387D02"/>
    <w:rsid w:val="003B41B1"/>
    <w:rsid w:val="003C0395"/>
    <w:rsid w:val="004137B0"/>
    <w:rsid w:val="004221D3"/>
    <w:rsid w:val="0044111C"/>
    <w:rsid w:val="00445080"/>
    <w:rsid w:val="0045468D"/>
    <w:rsid w:val="00474AC8"/>
    <w:rsid w:val="004847FB"/>
    <w:rsid w:val="004C3028"/>
    <w:rsid w:val="004D6E0C"/>
    <w:rsid w:val="00520EF1"/>
    <w:rsid w:val="00541A97"/>
    <w:rsid w:val="00542CEE"/>
    <w:rsid w:val="005A0DC8"/>
    <w:rsid w:val="005B05A0"/>
    <w:rsid w:val="005B0882"/>
    <w:rsid w:val="005B1B63"/>
    <w:rsid w:val="005C3315"/>
    <w:rsid w:val="005C4033"/>
    <w:rsid w:val="005E734D"/>
    <w:rsid w:val="006116D9"/>
    <w:rsid w:val="00623A55"/>
    <w:rsid w:val="0063677C"/>
    <w:rsid w:val="0066622B"/>
    <w:rsid w:val="00666A63"/>
    <w:rsid w:val="006848CC"/>
    <w:rsid w:val="0069096E"/>
    <w:rsid w:val="007003A8"/>
    <w:rsid w:val="00730132"/>
    <w:rsid w:val="00773814"/>
    <w:rsid w:val="00791F09"/>
    <w:rsid w:val="007920E3"/>
    <w:rsid w:val="007927D2"/>
    <w:rsid w:val="00796862"/>
    <w:rsid w:val="007B013F"/>
    <w:rsid w:val="007B0E03"/>
    <w:rsid w:val="007B1CCD"/>
    <w:rsid w:val="00813FB5"/>
    <w:rsid w:val="0081623D"/>
    <w:rsid w:val="00826CFF"/>
    <w:rsid w:val="00837F8F"/>
    <w:rsid w:val="00841E86"/>
    <w:rsid w:val="00860C28"/>
    <w:rsid w:val="00881730"/>
    <w:rsid w:val="008C1172"/>
    <w:rsid w:val="008D54B3"/>
    <w:rsid w:val="008F1034"/>
    <w:rsid w:val="008F177B"/>
    <w:rsid w:val="008F399E"/>
    <w:rsid w:val="00902300"/>
    <w:rsid w:val="00930F8E"/>
    <w:rsid w:val="00944227"/>
    <w:rsid w:val="00955F0C"/>
    <w:rsid w:val="00974A27"/>
    <w:rsid w:val="00985F9F"/>
    <w:rsid w:val="009A28FB"/>
    <w:rsid w:val="009D6255"/>
    <w:rsid w:val="009E25FB"/>
    <w:rsid w:val="00A0788A"/>
    <w:rsid w:val="00A27289"/>
    <w:rsid w:val="00A311EF"/>
    <w:rsid w:val="00A3254D"/>
    <w:rsid w:val="00A661E2"/>
    <w:rsid w:val="00A843D2"/>
    <w:rsid w:val="00A856B7"/>
    <w:rsid w:val="00AD7BFC"/>
    <w:rsid w:val="00AE093C"/>
    <w:rsid w:val="00AE1738"/>
    <w:rsid w:val="00AF13B3"/>
    <w:rsid w:val="00AF259D"/>
    <w:rsid w:val="00B11B73"/>
    <w:rsid w:val="00B272F1"/>
    <w:rsid w:val="00B51E08"/>
    <w:rsid w:val="00B57464"/>
    <w:rsid w:val="00B61036"/>
    <w:rsid w:val="00B72DD3"/>
    <w:rsid w:val="00B7335C"/>
    <w:rsid w:val="00B97BC5"/>
    <w:rsid w:val="00BB60CF"/>
    <w:rsid w:val="00BF1E3B"/>
    <w:rsid w:val="00C36BC1"/>
    <w:rsid w:val="00C426F8"/>
    <w:rsid w:val="00C628C4"/>
    <w:rsid w:val="00C63254"/>
    <w:rsid w:val="00C874C0"/>
    <w:rsid w:val="00CA2FF5"/>
    <w:rsid w:val="00CB49DA"/>
    <w:rsid w:val="00CC4FDA"/>
    <w:rsid w:val="00CC6A8B"/>
    <w:rsid w:val="00D01335"/>
    <w:rsid w:val="00D03EC6"/>
    <w:rsid w:val="00D3312B"/>
    <w:rsid w:val="00D37865"/>
    <w:rsid w:val="00D57367"/>
    <w:rsid w:val="00D84AE3"/>
    <w:rsid w:val="00D92A34"/>
    <w:rsid w:val="00DC485E"/>
    <w:rsid w:val="00DF39B6"/>
    <w:rsid w:val="00E233F5"/>
    <w:rsid w:val="00E57C9D"/>
    <w:rsid w:val="00E66CCD"/>
    <w:rsid w:val="00E76AD8"/>
    <w:rsid w:val="00E81F3D"/>
    <w:rsid w:val="00E83FC3"/>
    <w:rsid w:val="00E84EB5"/>
    <w:rsid w:val="00EE23CC"/>
    <w:rsid w:val="00F06CDE"/>
    <w:rsid w:val="00F21CA9"/>
    <w:rsid w:val="00F24096"/>
    <w:rsid w:val="00F249CD"/>
    <w:rsid w:val="00F414EF"/>
    <w:rsid w:val="00F47542"/>
    <w:rsid w:val="00FB351B"/>
    <w:rsid w:val="00FC0187"/>
    <w:rsid w:val="00FE3721"/>
    <w:rsid w:val="00FE4789"/>
    <w:rsid w:val="00FF17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28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8FB"/>
    <w:rPr>
      <w:rFonts w:ascii="Tahoma" w:hAnsi="Tahoma" w:cs="Tahoma"/>
      <w:sz w:val="16"/>
      <w:szCs w:val="16"/>
    </w:rPr>
  </w:style>
  <w:style w:type="paragraph" w:customStyle="1" w:styleId="newsTitle">
    <w:name w:val="newsTitle"/>
    <w:basedOn w:val="Normal"/>
    <w:autoRedefine/>
    <w:qFormat/>
    <w:rsid w:val="002E2C0E"/>
    <w:pPr>
      <w:tabs>
        <w:tab w:val="left" w:pos="5205"/>
      </w:tabs>
      <w:spacing w:before="480" w:after="112" w:line="300" w:lineRule="exact"/>
    </w:pPr>
    <w:rPr>
      <w:rFonts w:ascii="Arial" w:hAnsi="Arial"/>
      <w:caps/>
      <w:sz w:val="20"/>
      <w:szCs w:val="20"/>
    </w:rPr>
  </w:style>
  <w:style w:type="paragraph" w:styleId="Header">
    <w:name w:val="header"/>
    <w:basedOn w:val="Normal"/>
    <w:link w:val="HeaderChar"/>
    <w:uiPriority w:val="99"/>
    <w:unhideWhenUsed/>
    <w:rsid w:val="00FE37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FE3721"/>
  </w:style>
  <w:style w:type="paragraph" w:styleId="Footer">
    <w:name w:val="footer"/>
    <w:basedOn w:val="Normal"/>
    <w:link w:val="FooterChar"/>
    <w:uiPriority w:val="99"/>
    <w:unhideWhenUsed/>
    <w:rsid w:val="009A28FB"/>
    <w:pPr>
      <w:tabs>
        <w:tab w:val="center" w:pos="4536"/>
        <w:tab w:val="right" w:pos="9072"/>
      </w:tabs>
      <w:spacing w:after="0" w:line="240" w:lineRule="auto"/>
    </w:pPr>
  </w:style>
  <w:style w:type="character" w:customStyle="1" w:styleId="FooterChar">
    <w:name w:val="Footer Char"/>
    <w:basedOn w:val="DefaultParagraphFont"/>
    <w:link w:val="Footer"/>
    <w:uiPriority w:val="99"/>
    <w:rsid w:val="009A28FB"/>
  </w:style>
  <w:style w:type="character" w:styleId="Hyperlink">
    <w:name w:val="Hyperlink"/>
    <w:basedOn w:val="DefaultParagraphFont"/>
    <w:uiPriority w:val="99"/>
    <w:unhideWhenUsed/>
    <w:qFormat/>
    <w:rsid w:val="00A661E2"/>
    <w:rPr>
      <w:rFonts w:ascii="Arial" w:hAnsi="Arial"/>
      <w:b w:val="0"/>
      <w:i w:val="0"/>
      <w:color w:val="003399"/>
      <w:sz w:val="17"/>
      <w:u w:val="none"/>
    </w:rPr>
  </w:style>
  <w:style w:type="paragraph" w:customStyle="1" w:styleId="newsSubTitle">
    <w:name w:val="newsSubTitle"/>
    <w:basedOn w:val="Normal"/>
    <w:autoRedefine/>
    <w:qFormat/>
    <w:rsid w:val="00025C96"/>
    <w:pPr>
      <w:spacing w:after="300" w:line="300" w:lineRule="exact"/>
    </w:pPr>
    <w:rPr>
      <w:rFonts w:ascii="Arial" w:hAnsi="Arial"/>
      <w:b/>
      <w:sz w:val="26"/>
    </w:rPr>
  </w:style>
  <w:style w:type="paragraph" w:customStyle="1" w:styleId="newsContent">
    <w:name w:val="newsContent"/>
    <w:basedOn w:val="Normal"/>
    <w:link w:val="newsContentChar"/>
    <w:autoRedefine/>
    <w:qFormat/>
    <w:rsid w:val="00025C96"/>
    <w:pPr>
      <w:spacing w:after="260" w:line="260" w:lineRule="exact"/>
    </w:pPr>
    <w:rPr>
      <w:rFonts w:ascii="Arial" w:hAnsi="Arial"/>
      <w:color w:val="000000" w:themeColor="text1"/>
      <w:sz w:val="20"/>
    </w:rPr>
  </w:style>
  <w:style w:type="paragraph" w:customStyle="1" w:styleId="newsAddress">
    <w:name w:val="newsAddress"/>
    <w:basedOn w:val="Footer"/>
    <w:autoRedefine/>
    <w:qFormat/>
    <w:rsid w:val="00FE3721"/>
    <w:pPr>
      <w:framePr w:wrap="around" w:vAnchor="text" w:hAnchor="page" w:x="852" w:y="1"/>
      <w:tabs>
        <w:tab w:val="clear" w:pos="9072"/>
        <w:tab w:val="right" w:pos="7371"/>
      </w:tabs>
      <w:spacing w:line="200" w:lineRule="exact"/>
    </w:pPr>
    <w:rPr>
      <w:rFonts w:ascii="Arial" w:hAnsi="Arial"/>
      <w:sz w:val="14"/>
    </w:rPr>
  </w:style>
  <w:style w:type="paragraph" w:customStyle="1" w:styleId="newsReference">
    <w:name w:val="newsReference"/>
    <w:basedOn w:val="Normal"/>
    <w:autoRedefine/>
    <w:qFormat/>
    <w:rsid w:val="002E2C0E"/>
    <w:pPr>
      <w:spacing w:after="0" w:line="200" w:lineRule="exact"/>
      <w:ind w:left="2321" w:right="-2265" w:hanging="2321"/>
      <w:jc w:val="right"/>
    </w:pPr>
    <w:rPr>
      <w:rFonts w:ascii="Arial" w:hAnsi="Arial"/>
      <w:sz w:val="14"/>
    </w:rPr>
  </w:style>
  <w:style w:type="paragraph" w:customStyle="1" w:styleId="newsRef">
    <w:name w:val="newsRef"/>
    <w:basedOn w:val="newsAddress"/>
    <w:autoRedefine/>
    <w:qFormat/>
    <w:rsid w:val="00B97BC5"/>
    <w:pPr>
      <w:framePr w:wrap="around"/>
      <w:tabs>
        <w:tab w:val="clear" w:pos="4536"/>
        <w:tab w:val="right" w:pos="6946"/>
        <w:tab w:val="left" w:pos="8505"/>
      </w:tabs>
      <w:ind w:right="-569"/>
    </w:pPr>
  </w:style>
  <w:style w:type="character" w:styleId="PlaceholderText">
    <w:name w:val="Placeholder Text"/>
    <w:basedOn w:val="DefaultParagraphFont"/>
    <w:uiPriority w:val="99"/>
    <w:semiHidden/>
    <w:rsid w:val="00730132"/>
    <w:rPr>
      <w:color w:val="808080"/>
    </w:rPr>
  </w:style>
  <w:style w:type="paragraph" w:customStyle="1" w:styleId="newsCoordinates">
    <w:name w:val="newsCoordinates"/>
    <w:basedOn w:val="Footer"/>
    <w:autoRedefine/>
    <w:qFormat/>
    <w:rsid w:val="00157141"/>
    <w:pPr>
      <w:tabs>
        <w:tab w:val="clear" w:pos="4536"/>
        <w:tab w:val="clear" w:pos="9072"/>
        <w:tab w:val="center" w:pos="7740"/>
        <w:tab w:val="left" w:pos="7881"/>
        <w:tab w:val="right" w:pos="8222"/>
      </w:tabs>
      <w:spacing w:line="200" w:lineRule="exact"/>
      <w:ind w:left="84" w:right="-1474"/>
    </w:pPr>
    <w:rPr>
      <w:rFonts w:ascii="Arial" w:hAnsi="Arial"/>
      <w:sz w:val="14"/>
    </w:rPr>
  </w:style>
  <w:style w:type="paragraph" w:customStyle="1" w:styleId="newsEmbargo">
    <w:name w:val="newsEmbargo"/>
    <w:basedOn w:val="newsCoordinates"/>
    <w:autoRedefine/>
    <w:qFormat/>
    <w:rsid w:val="002E2C0E"/>
    <w:pPr>
      <w:tabs>
        <w:tab w:val="clear" w:pos="8222"/>
        <w:tab w:val="right" w:pos="9951"/>
        <w:tab w:val="center" w:pos="10008"/>
      </w:tabs>
    </w:pPr>
    <w:rPr>
      <w:color w:val="000000" w:themeColor="text1"/>
      <w:sz w:val="15"/>
    </w:rPr>
  </w:style>
  <w:style w:type="paragraph" w:customStyle="1" w:styleId="newsDate">
    <w:name w:val="newsDate"/>
    <w:basedOn w:val="newsEmbargo"/>
    <w:autoRedefine/>
    <w:qFormat/>
    <w:rsid w:val="00B97BC5"/>
    <w:pPr>
      <w:jc w:val="center"/>
    </w:pPr>
  </w:style>
  <w:style w:type="paragraph" w:customStyle="1" w:styleId="newsNotes">
    <w:name w:val="newsNotes"/>
    <w:basedOn w:val="newsContent"/>
    <w:link w:val="newsNotesChar"/>
    <w:autoRedefine/>
    <w:qFormat/>
    <w:rsid w:val="00025C96"/>
    <w:pPr>
      <w:spacing w:after="0" w:line="220" w:lineRule="exact"/>
    </w:pPr>
    <w:rPr>
      <w:color w:val="auto"/>
      <w:sz w:val="17"/>
    </w:rPr>
  </w:style>
  <w:style w:type="table" w:styleId="TableGrid">
    <w:name w:val="Table Grid"/>
    <w:basedOn w:val="TableNormal"/>
    <w:uiPriority w:val="59"/>
    <w:rsid w:val="00FE47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box">
    <w:name w:val="Textbox"/>
    <w:rsid w:val="00D84AE3"/>
    <w:pPr>
      <w:spacing w:after="0" w:line="240" w:lineRule="auto"/>
    </w:pPr>
    <w:rPr>
      <w:rFonts w:ascii="Comic Sans MS" w:eastAsia="Times New Roman" w:hAnsi="Comic Sans MS" w:cs="Times New Roman"/>
      <w:color w:val="0000FF"/>
      <w:sz w:val="24"/>
      <w:szCs w:val="20"/>
      <w:lang w:val="en-US"/>
    </w:rPr>
  </w:style>
  <w:style w:type="paragraph" w:customStyle="1" w:styleId="newsNotesNumber">
    <w:name w:val="newsNotesNumber"/>
    <w:basedOn w:val="newsNotes"/>
    <w:next w:val="Normal"/>
    <w:link w:val="newsNotesNumberChar"/>
    <w:autoRedefine/>
    <w:qFormat/>
    <w:rsid w:val="00CB49DA"/>
    <w:rPr>
      <w:vertAlign w:val="superscript"/>
    </w:rPr>
  </w:style>
  <w:style w:type="character" w:customStyle="1" w:styleId="newsContentChar">
    <w:name w:val="newsContent Char"/>
    <w:basedOn w:val="DefaultParagraphFont"/>
    <w:link w:val="newsContent"/>
    <w:rsid w:val="00025C96"/>
    <w:rPr>
      <w:rFonts w:ascii="Arial" w:hAnsi="Arial"/>
      <w:color w:val="000000" w:themeColor="text1"/>
      <w:sz w:val="20"/>
      <w:lang w:val="lv-LV"/>
    </w:rPr>
  </w:style>
  <w:style w:type="character" w:customStyle="1" w:styleId="newsNotesChar">
    <w:name w:val="newsNotes Char"/>
    <w:basedOn w:val="newsContentChar"/>
    <w:link w:val="newsNotes"/>
    <w:rsid w:val="00025C96"/>
    <w:rPr>
      <w:rFonts w:ascii="Arial" w:hAnsi="Arial"/>
      <w:color w:val="000000" w:themeColor="text1"/>
      <w:sz w:val="17"/>
      <w:lang w:val="lv-LV"/>
    </w:rPr>
  </w:style>
  <w:style w:type="character" w:customStyle="1" w:styleId="newsNotesNumberChar">
    <w:name w:val="newsNotesNumber Char"/>
    <w:basedOn w:val="newsNotesChar"/>
    <w:link w:val="newsNotesNumber"/>
    <w:rsid w:val="00CB49DA"/>
    <w:rPr>
      <w:rFonts w:ascii="Arial" w:hAnsi="Arial"/>
      <w:color w:val="000000" w:themeColor="text1"/>
      <w:sz w:val="17"/>
      <w:vertAlign w:val="superscript"/>
      <w:lang w:val="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28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8FB"/>
    <w:rPr>
      <w:rFonts w:ascii="Tahoma" w:hAnsi="Tahoma" w:cs="Tahoma"/>
      <w:sz w:val="16"/>
      <w:szCs w:val="16"/>
    </w:rPr>
  </w:style>
  <w:style w:type="paragraph" w:customStyle="1" w:styleId="newsTitle">
    <w:name w:val="newsTitle"/>
    <w:basedOn w:val="Normal"/>
    <w:autoRedefine/>
    <w:qFormat/>
    <w:rsid w:val="002E2C0E"/>
    <w:pPr>
      <w:tabs>
        <w:tab w:val="left" w:pos="5205"/>
      </w:tabs>
      <w:spacing w:before="480" w:after="112" w:line="300" w:lineRule="exact"/>
    </w:pPr>
    <w:rPr>
      <w:rFonts w:ascii="Arial" w:hAnsi="Arial"/>
      <w:caps/>
      <w:sz w:val="20"/>
      <w:szCs w:val="20"/>
    </w:rPr>
  </w:style>
  <w:style w:type="paragraph" w:styleId="Header">
    <w:name w:val="header"/>
    <w:basedOn w:val="Normal"/>
    <w:link w:val="HeaderChar"/>
    <w:uiPriority w:val="99"/>
    <w:unhideWhenUsed/>
    <w:rsid w:val="00FE37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FE3721"/>
  </w:style>
  <w:style w:type="paragraph" w:styleId="Footer">
    <w:name w:val="footer"/>
    <w:basedOn w:val="Normal"/>
    <w:link w:val="FooterChar"/>
    <w:uiPriority w:val="99"/>
    <w:unhideWhenUsed/>
    <w:rsid w:val="009A28FB"/>
    <w:pPr>
      <w:tabs>
        <w:tab w:val="center" w:pos="4536"/>
        <w:tab w:val="right" w:pos="9072"/>
      </w:tabs>
      <w:spacing w:after="0" w:line="240" w:lineRule="auto"/>
    </w:pPr>
  </w:style>
  <w:style w:type="character" w:customStyle="1" w:styleId="FooterChar">
    <w:name w:val="Footer Char"/>
    <w:basedOn w:val="DefaultParagraphFont"/>
    <w:link w:val="Footer"/>
    <w:uiPriority w:val="99"/>
    <w:rsid w:val="009A28FB"/>
  </w:style>
  <w:style w:type="character" w:styleId="Hyperlink">
    <w:name w:val="Hyperlink"/>
    <w:basedOn w:val="DefaultParagraphFont"/>
    <w:uiPriority w:val="99"/>
    <w:unhideWhenUsed/>
    <w:qFormat/>
    <w:rsid w:val="00A661E2"/>
    <w:rPr>
      <w:rFonts w:ascii="Arial" w:hAnsi="Arial"/>
      <w:b w:val="0"/>
      <w:i w:val="0"/>
      <w:color w:val="003399"/>
      <w:sz w:val="17"/>
      <w:u w:val="none"/>
    </w:rPr>
  </w:style>
  <w:style w:type="paragraph" w:customStyle="1" w:styleId="newsSubTitle">
    <w:name w:val="newsSubTitle"/>
    <w:basedOn w:val="Normal"/>
    <w:autoRedefine/>
    <w:qFormat/>
    <w:rsid w:val="00025C96"/>
    <w:pPr>
      <w:spacing w:after="300" w:line="300" w:lineRule="exact"/>
    </w:pPr>
    <w:rPr>
      <w:rFonts w:ascii="Arial" w:hAnsi="Arial"/>
      <w:b/>
      <w:sz w:val="26"/>
    </w:rPr>
  </w:style>
  <w:style w:type="paragraph" w:customStyle="1" w:styleId="newsContent">
    <w:name w:val="newsContent"/>
    <w:basedOn w:val="Normal"/>
    <w:link w:val="newsContentChar"/>
    <w:autoRedefine/>
    <w:qFormat/>
    <w:rsid w:val="00025C96"/>
    <w:pPr>
      <w:spacing w:after="260" w:line="260" w:lineRule="exact"/>
    </w:pPr>
    <w:rPr>
      <w:rFonts w:ascii="Arial" w:hAnsi="Arial"/>
      <w:color w:val="000000" w:themeColor="text1"/>
      <w:sz w:val="20"/>
    </w:rPr>
  </w:style>
  <w:style w:type="paragraph" w:customStyle="1" w:styleId="newsAddress">
    <w:name w:val="newsAddress"/>
    <w:basedOn w:val="Footer"/>
    <w:autoRedefine/>
    <w:qFormat/>
    <w:rsid w:val="00FE3721"/>
    <w:pPr>
      <w:framePr w:wrap="around" w:vAnchor="text" w:hAnchor="page" w:x="852" w:y="1"/>
      <w:tabs>
        <w:tab w:val="clear" w:pos="9072"/>
        <w:tab w:val="right" w:pos="7371"/>
      </w:tabs>
      <w:spacing w:line="200" w:lineRule="exact"/>
    </w:pPr>
    <w:rPr>
      <w:rFonts w:ascii="Arial" w:hAnsi="Arial"/>
      <w:sz w:val="14"/>
    </w:rPr>
  </w:style>
  <w:style w:type="paragraph" w:customStyle="1" w:styleId="newsReference">
    <w:name w:val="newsReference"/>
    <w:basedOn w:val="Normal"/>
    <w:autoRedefine/>
    <w:qFormat/>
    <w:rsid w:val="002E2C0E"/>
    <w:pPr>
      <w:spacing w:after="0" w:line="200" w:lineRule="exact"/>
      <w:ind w:left="2321" w:right="-2265" w:hanging="2321"/>
      <w:jc w:val="right"/>
    </w:pPr>
    <w:rPr>
      <w:rFonts w:ascii="Arial" w:hAnsi="Arial"/>
      <w:sz w:val="14"/>
    </w:rPr>
  </w:style>
  <w:style w:type="paragraph" w:customStyle="1" w:styleId="newsRef">
    <w:name w:val="newsRef"/>
    <w:basedOn w:val="newsAddress"/>
    <w:autoRedefine/>
    <w:qFormat/>
    <w:rsid w:val="00B97BC5"/>
    <w:pPr>
      <w:framePr w:wrap="around"/>
      <w:tabs>
        <w:tab w:val="clear" w:pos="4536"/>
        <w:tab w:val="right" w:pos="6946"/>
        <w:tab w:val="left" w:pos="8505"/>
      </w:tabs>
      <w:ind w:right="-569"/>
    </w:pPr>
  </w:style>
  <w:style w:type="character" w:styleId="PlaceholderText">
    <w:name w:val="Placeholder Text"/>
    <w:basedOn w:val="DefaultParagraphFont"/>
    <w:uiPriority w:val="99"/>
    <w:semiHidden/>
    <w:rsid w:val="00730132"/>
    <w:rPr>
      <w:color w:val="808080"/>
    </w:rPr>
  </w:style>
  <w:style w:type="paragraph" w:customStyle="1" w:styleId="newsCoordinates">
    <w:name w:val="newsCoordinates"/>
    <w:basedOn w:val="Footer"/>
    <w:autoRedefine/>
    <w:qFormat/>
    <w:rsid w:val="00157141"/>
    <w:pPr>
      <w:tabs>
        <w:tab w:val="clear" w:pos="4536"/>
        <w:tab w:val="clear" w:pos="9072"/>
        <w:tab w:val="center" w:pos="7740"/>
        <w:tab w:val="left" w:pos="7881"/>
        <w:tab w:val="right" w:pos="8222"/>
      </w:tabs>
      <w:spacing w:line="200" w:lineRule="exact"/>
      <w:ind w:left="84" w:right="-1474"/>
    </w:pPr>
    <w:rPr>
      <w:rFonts w:ascii="Arial" w:hAnsi="Arial"/>
      <w:sz w:val="14"/>
    </w:rPr>
  </w:style>
  <w:style w:type="paragraph" w:customStyle="1" w:styleId="newsEmbargo">
    <w:name w:val="newsEmbargo"/>
    <w:basedOn w:val="newsCoordinates"/>
    <w:autoRedefine/>
    <w:qFormat/>
    <w:rsid w:val="002E2C0E"/>
    <w:pPr>
      <w:tabs>
        <w:tab w:val="clear" w:pos="8222"/>
        <w:tab w:val="right" w:pos="9951"/>
        <w:tab w:val="center" w:pos="10008"/>
      </w:tabs>
    </w:pPr>
    <w:rPr>
      <w:color w:val="000000" w:themeColor="text1"/>
      <w:sz w:val="15"/>
    </w:rPr>
  </w:style>
  <w:style w:type="paragraph" w:customStyle="1" w:styleId="newsDate">
    <w:name w:val="newsDate"/>
    <w:basedOn w:val="newsEmbargo"/>
    <w:autoRedefine/>
    <w:qFormat/>
    <w:rsid w:val="00B97BC5"/>
    <w:pPr>
      <w:jc w:val="center"/>
    </w:pPr>
  </w:style>
  <w:style w:type="paragraph" w:customStyle="1" w:styleId="newsNotes">
    <w:name w:val="newsNotes"/>
    <w:basedOn w:val="newsContent"/>
    <w:link w:val="newsNotesChar"/>
    <w:autoRedefine/>
    <w:qFormat/>
    <w:rsid w:val="00025C96"/>
    <w:pPr>
      <w:spacing w:after="0" w:line="220" w:lineRule="exact"/>
    </w:pPr>
    <w:rPr>
      <w:color w:val="auto"/>
      <w:sz w:val="17"/>
    </w:rPr>
  </w:style>
  <w:style w:type="table" w:styleId="TableGrid">
    <w:name w:val="Table Grid"/>
    <w:basedOn w:val="TableNormal"/>
    <w:uiPriority w:val="59"/>
    <w:rsid w:val="00FE47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box">
    <w:name w:val="Textbox"/>
    <w:rsid w:val="00D84AE3"/>
    <w:pPr>
      <w:spacing w:after="0" w:line="240" w:lineRule="auto"/>
    </w:pPr>
    <w:rPr>
      <w:rFonts w:ascii="Comic Sans MS" w:eastAsia="Times New Roman" w:hAnsi="Comic Sans MS" w:cs="Times New Roman"/>
      <w:color w:val="0000FF"/>
      <w:sz w:val="24"/>
      <w:szCs w:val="20"/>
      <w:lang w:val="en-US"/>
    </w:rPr>
  </w:style>
  <w:style w:type="paragraph" w:customStyle="1" w:styleId="newsNotesNumber">
    <w:name w:val="newsNotesNumber"/>
    <w:basedOn w:val="newsNotes"/>
    <w:next w:val="Normal"/>
    <w:link w:val="newsNotesNumberChar"/>
    <w:autoRedefine/>
    <w:qFormat/>
    <w:rsid w:val="00CB49DA"/>
    <w:rPr>
      <w:vertAlign w:val="superscript"/>
    </w:rPr>
  </w:style>
  <w:style w:type="character" w:customStyle="1" w:styleId="newsContentChar">
    <w:name w:val="newsContent Char"/>
    <w:basedOn w:val="DefaultParagraphFont"/>
    <w:link w:val="newsContent"/>
    <w:rsid w:val="00025C96"/>
    <w:rPr>
      <w:rFonts w:ascii="Arial" w:hAnsi="Arial"/>
      <w:color w:val="000000" w:themeColor="text1"/>
      <w:sz w:val="20"/>
      <w:lang w:val="lv-LV"/>
    </w:rPr>
  </w:style>
  <w:style w:type="character" w:customStyle="1" w:styleId="newsNotesChar">
    <w:name w:val="newsNotes Char"/>
    <w:basedOn w:val="newsContentChar"/>
    <w:link w:val="newsNotes"/>
    <w:rsid w:val="00025C96"/>
    <w:rPr>
      <w:rFonts w:ascii="Arial" w:hAnsi="Arial"/>
      <w:color w:val="000000" w:themeColor="text1"/>
      <w:sz w:val="17"/>
      <w:lang w:val="lv-LV"/>
    </w:rPr>
  </w:style>
  <w:style w:type="character" w:customStyle="1" w:styleId="newsNotesNumberChar">
    <w:name w:val="newsNotesNumber Char"/>
    <w:basedOn w:val="newsNotesChar"/>
    <w:link w:val="newsNotesNumber"/>
    <w:rsid w:val="00CB49DA"/>
    <w:rPr>
      <w:rFonts w:ascii="Arial" w:hAnsi="Arial"/>
      <w:color w:val="000000" w:themeColor="text1"/>
      <w:sz w:val="17"/>
      <w:vertAlign w:val="superscript"/>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50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Data\My%20Documents\Annualreport_2014_EDR\Terms_and_templates\NewTemplates\news-release-LV.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7A83E-4450-4A9B-AA92-2D09E4F5A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news-release-LV</Template>
  <TotalTime>20</TotalTime>
  <Pages>3</Pages>
  <Words>1360</Words>
  <Characters>7753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News release LV</vt:lpstr>
    </vt:vector>
  </TitlesOfParts>
  <Manager>EMCDDA</Manager>
  <Company>EMCDDA</Company>
  <LinksUpToDate>false</LinksUpToDate>
  <CharactersWithSpaces>9095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LV</dc:title>
  <dc:subject>News release LV</dc:subject>
  <dc:creator>Kathryn Robertson</dc:creator>
  <cp:lastModifiedBy>Kathryn Robertson</cp:lastModifiedBy>
  <cp:revision>5</cp:revision>
  <cp:lastPrinted>2014-05-22T14:11:00Z</cp:lastPrinted>
  <dcterms:created xsi:type="dcterms:W3CDTF">2014-05-22T13:48:00Z</dcterms:created>
  <dcterms:modified xsi:type="dcterms:W3CDTF">2014-05-22T14:21:00Z</dcterms:modified>
  <cp:category>News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sation">
    <vt:lpwstr>EMCDDA</vt:lpwstr>
  </property>
  <property fmtid="{D5CDD505-2E9C-101B-9397-08002B2CF9AE}" pid="3" name="Editor">
    <vt:lpwstr>EMCDDA</vt:lpwstr>
  </property>
  <property fmtid="{D5CDD505-2E9C-101B-9397-08002B2CF9AE}" pid="4" name="Language">
    <vt:lpwstr>LV</vt:lpwstr>
  </property>
</Properties>
</file>