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BB0EB6" w:rsidTr="00025C96">
        <w:trPr>
          <w:trHeight w:val="1695"/>
        </w:trPr>
        <w:tc>
          <w:tcPr>
            <w:tcW w:w="2331" w:type="pct"/>
          </w:tcPr>
          <w:p w:rsidR="00EE23CC" w:rsidRPr="00BB0EB6" w:rsidRDefault="00EE23CC" w:rsidP="00025C96">
            <w:r w:rsidRPr="00BB0EB6">
              <w:rPr>
                <w:noProof/>
                <w:lang w:val="en-GB" w:eastAsia="en-GB"/>
              </w:rPr>
              <w:drawing>
                <wp:inline distT="0" distB="0" distL="0" distR="0" wp14:anchorId="011C9BAB" wp14:editId="418CA8E4">
                  <wp:extent cx="3014373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37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BB0EB6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BB0EB6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BB0EB6" w:rsidRDefault="001F70B4" w:rsidP="001F70B4">
            <w:r w:rsidRPr="00BB0EB6">
              <w:rPr>
                <w:noProof/>
                <w:lang w:val="en-GB" w:eastAsia="en-GB"/>
              </w:rPr>
              <w:drawing>
                <wp:inline distT="0" distB="0" distL="0" distR="0" wp14:anchorId="4C380E64" wp14:editId="1D8CF649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439" w:rsidRPr="00BF5CBE" w:rsidRDefault="007C6AC6" w:rsidP="009A25F8">
      <w:pPr>
        <w:pStyle w:val="newsTitle"/>
        <w:rPr>
          <w:b/>
          <w:lang w:val="en-GB"/>
        </w:rPr>
      </w:pPr>
      <w:r w:rsidRPr="00BF5CBE">
        <w:t xml:space="preserve">EUROPEJSKI RAPORT NARKOTYKOWY 2014 </w:t>
      </w:r>
      <w:r w:rsidR="00257D07" w:rsidRPr="00BF5CBE">
        <w:t>–</w:t>
      </w:r>
      <w:r w:rsidRPr="00BF5CBE">
        <w:t xml:space="preserve"> PROGNOZY DOTYCZĄCE SYTUACJI NARKOTYKOWEJ</w:t>
      </w:r>
    </w:p>
    <w:p w:rsidR="00B22439" w:rsidRPr="00E57A1C" w:rsidRDefault="007C6AC6" w:rsidP="00E57A1C">
      <w:pPr>
        <w:pStyle w:val="newsSubTitle"/>
      </w:pPr>
      <w:r w:rsidRPr="00E57A1C">
        <w:t>Agencja UE ds. narkotyków opublikowała sześ</w:t>
      </w:r>
      <w:bookmarkStart w:id="0" w:name="_GoBack"/>
      <w:bookmarkEnd w:id="0"/>
      <w:r w:rsidRPr="00E57A1C">
        <w:t>ć nowych opracowań w Internecie</w:t>
      </w:r>
      <w:r w:rsidR="00B22439" w:rsidRPr="00E57A1C">
        <w:t xml:space="preserve"> </w:t>
      </w:r>
    </w:p>
    <w:p w:rsidR="007C6AC6" w:rsidRDefault="007C6AC6" w:rsidP="00ED781C">
      <w:pPr>
        <w:pStyle w:val="newsContent"/>
      </w:pPr>
      <w:r w:rsidRPr="00BB0EB6">
        <w:t xml:space="preserve">(27.5.2014 LIZBONA </w:t>
      </w:r>
      <w:r w:rsidRPr="00E02B44">
        <w:rPr>
          <w:b/>
          <w:color w:val="FF0000"/>
        </w:rPr>
        <w:t>EMBARGO godz.</w:t>
      </w:r>
      <w:r w:rsidR="00E57A1C" w:rsidRPr="00E02B44">
        <w:rPr>
          <w:b/>
          <w:color w:val="FF0000"/>
        </w:rPr>
        <w:t xml:space="preserve"> </w:t>
      </w:r>
      <w:r w:rsidRPr="00E02B44">
        <w:rPr>
          <w:b/>
          <w:color w:val="FF0000"/>
        </w:rPr>
        <w:t>10:00 czasu środkowoeuropejskiego</w:t>
      </w:r>
      <w:r w:rsidRPr="00BB0EB6">
        <w:t xml:space="preserve">) </w:t>
      </w:r>
      <w:r w:rsidRPr="00BB0EB6">
        <w:rPr>
          <w:b/>
          <w:bCs/>
        </w:rPr>
        <w:t>Agencja UE ds. narkotyków (EMCDDA)</w:t>
      </w:r>
      <w:r w:rsidRPr="00BB0EB6">
        <w:t xml:space="preserve"> opublikowała dzisiaj swój </w:t>
      </w:r>
      <w:r w:rsidRPr="00BB0EB6">
        <w:rPr>
          <w:b/>
          <w:bCs/>
          <w:i/>
          <w:iCs/>
        </w:rPr>
        <w:t xml:space="preserve">Europejski raport narkotykowy 2014: </w:t>
      </w:r>
      <w:r w:rsidR="00BF5CBE">
        <w:rPr>
          <w:b/>
          <w:bCs/>
          <w:i/>
          <w:iCs/>
        </w:rPr>
        <w:t xml:space="preserve">                </w:t>
      </w:r>
      <w:r w:rsidRPr="00BB0EB6">
        <w:rPr>
          <w:b/>
          <w:bCs/>
          <w:i/>
          <w:iCs/>
        </w:rPr>
        <w:t>Tendencje</w:t>
      </w:r>
      <w:r w:rsidR="00BF5CBE">
        <w:rPr>
          <w:b/>
          <w:bCs/>
          <w:i/>
          <w:iCs/>
        </w:rPr>
        <w:t xml:space="preserve"> </w:t>
      </w:r>
      <w:r w:rsidRPr="00BB0EB6">
        <w:rPr>
          <w:b/>
          <w:bCs/>
          <w:i/>
          <w:iCs/>
        </w:rPr>
        <w:t>i osiągnięcia</w:t>
      </w:r>
      <w:r w:rsidRPr="00BB0EB6">
        <w:t xml:space="preserve"> oraz sześć nowych materiałów z serii </w:t>
      </w:r>
      <w:r w:rsidRPr="00BF5CBE">
        <w:rPr>
          <w:b/>
          <w:bCs/>
        </w:rPr>
        <w:t>Prognozy dotyczące sytuacji narkotykowej</w:t>
      </w:r>
      <w:r w:rsidRPr="00BF5CBE">
        <w:t xml:space="preserve"> (</w:t>
      </w:r>
      <w:r w:rsidR="00393B54" w:rsidRPr="00BF5CBE">
        <w:rPr>
          <w:i/>
        </w:rPr>
        <w:t>Perspectives on drugs</w:t>
      </w:r>
      <w:r w:rsidR="00E02B44" w:rsidRPr="00BF5CBE">
        <w:rPr>
          <w:i/>
        </w:rPr>
        <w:t>/</w:t>
      </w:r>
      <w:r w:rsidRPr="00BF5CBE">
        <w:t xml:space="preserve">POD). Ten najnowszy pakiet interaktywnych analiz internetowych stanowi najbardziej aktualny przegląd kluczowych aspektów sytuacji narkotykowej w Europie. </w:t>
      </w:r>
      <w:r w:rsidR="00BF5CBE">
        <w:t xml:space="preserve">             </w:t>
      </w:r>
      <w:r w:rsidRPr="00BF5CBE">
        <w:rPr>
          <w:b/>
        </w:rPr>
        <w:t>Prognozy dotyczące sytuacji narkotykowej</w:t>
      </w:r>
      <w:r w:rsidRPr="00BF5CBE">
        <w:t xml:space="preserve"> obejmują takie zagadnienia, jak rosnące obawy związane z używaniem substancji pobudzających, zmiany na rynku</w:t>
      </w:r>
      <w:r w:rsidRPr="00BB0EB6">
        <w:t xml:space="preserve"> konopi indyjskich w Europie, postępy w leczeniu uzależnień przez Internet oraz badanie stężenia narkotyków w ściekach.</w:t>
      </w:r>
    </w:p>
    <w:p w:rsidR="0048683F" w:rsidRPr="00BB0EB6" w:rsidRDefault="0048683F" w:rsidP="00ED781C">
      <w:pPr>
        <w:pStyle w:val="newsContent"/>
      </w:pPr>
    </w:p>
    <w:p w:rsidR="007C6AC6" w:rsidRDefault="0048683F" w:rsidP="00ED781C">
      <w:pPr>
        <w:pStyle w:val="newsContent"/>
        <w:rPr>
          <w:b/>
        </w:rPr>
      </w:pPr>
      <w:r>
        <w:rPr>
          <w:b/>
        </w:rPr>
        <w:t>S</w:t>
      </w:r>
      <w:r w:rsidRPr="00E6215A">
        <w:rPr>
          <w:b/>
        </w:rPr>
        <w:t>yntetyczne</w:t>
      </w:r>
      <w:r w:rsidRPr="0048683F">
        <w:rPr>
          <w:b/>
        </w:rPr>
        <w:t xml:space="preserve"> </w:t>
      </w:r>
      <w:r>
        <w:rPr>
          <w:b/>
        </w:rPr>
        <w:t>k</w:t>
      </w:r>
      <w:r w:rsidR="007C6AC6" w:rsidRPr="00E02B44">
        <w:rPr>
          <w:b/>
        </w:rPr>
        <w:t>atynony: niepokojące doniesienia lokalne i ogólnokrajowe dotyczące używania iniekcyjnego</w:t>
      </w:r>
    </w:p>
    <w:p w:rsidR="0048683F" w:rsidRPr="00E02B44" w:rsidRDefault="0048683F" w:rsidP="00ED781C">
      <w:pPr>
        <w:pStyle w:val="newsContent"/>
        <w:rPr>
          <w:b/>
        </w:rPr>
      </w:pPr>
    </w:p>
    <w:p w:rsidR="007C6AC6" w:rsidRPr="00BB0EB6" w:rsidRDefault="007C6AC6" w:rsidP="007C6AC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W latach 2005-2013 za pośrednictwem </w:t>
      </w:r>
      <w:r w:rsidRPr="00BB0EB6">
        <w:rPr>
          <w:rFonts w:ascii="Arial" w:hAnsi="Arial" w:cs="Arial"/>
          <w:b/>
          <w:bCs/>
          <w:sz w:val="20"/>
          <w:szCs w:val="20"/>
        </w:rPr>
        <w:t>systemu wczesnego ostrzegania UE (EU-EWS)</w:t>
      </w:r>
      <w:r w:rsidRPr="00BB0EB6">
        <w:rPr>
          <w:rFonts w:ascii="Arial" w:hAnsi="Arial" w:cs="Arial"/>
          <w:sz w:val="20"/>
          <w:szCs w:val="20"/>
        </w:rPr>
        <w:t xml:space="preserve"> wykryto ponad 50 syntetycznych pochodnych katynonów (substancji pobudzających). Wśród substancji monitorowanych w ramach EU-EWS znajdują się: mefedron (podlegający środkom kontroli w UE od 2010 r.); MDPV (ocena ryzyka przeprowadzona w kwietniu 2014 r.) oraz pentedron. Syntetyczne katynony można wciągać przez nos w postaci proszku lub spożywać w postaci tabletek, ale </w:t>
      </w:r>
      <w:r w:rsidRPr="00BB0EB6">
        <w:rPr>
          <w:rFonts w:ascii="Arial" w:hAnsi="Arial" w:cs="Arial"/>
          <w:b/>
          <w:bCs/>
          <w:sz w:val="20"/>
          <w:szCs w:val="20"/>
        </w:rPr>
        <w:t>EMCDDA</w:t>
      </w:r>
      <w:r w:rsidRPr="00BB0EB6">
        <w:rPr>
          <w:rFonts w:ascii="Arial" w:hAnsi="Arial" w:cs="Arial"/>
          <w:sz w:val="20"/>
          <w:szCs w:val="20"/>
        </w:rPr>
        <w:t xml:space="preserve"> bada obecnie niepokojące doniesienia na temat wstrzykiwania tych substancji. </w:t>
      </w:r>
    </w:p>
    <w:p w:rsidR="007C6AC6" w:rsidRPr="00BB0EB6" w:rsidRDefault="007C6AC6" w:rsidP="007C6AC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Chociaż wstrzykiwanie katynonów w Europie nie jest rozpowszechnione, problem ten występuje lokalnie wśród </w:t>
      </w:r>
      <w:r w:rsidR="009E59C3">
        <w:rPr>
          <w:rFonts w:ascii="Arial" w:hAnsi="Arial" w:cs="Arial"/>
          <w:sz w:val="20"/>
          <w:szCs w:val="20"/>
        </w:rPr>
        <w:t>problemowych użytkowników narkotyków</w:t>
      </w:r>
      <w:r w:rsidRPr="00BB0EB6">
        <w:rPr>
          <w:rFonts w:ascii="Arial" w:hAnsi="Arial" w:cs="Arial"/>
          <w:sz w:val="20"/>
          <w:szCs w:val="20"/>
        </w:rPr>
        <w:t xml:space="preserve"> w niektórych krajach (np. w </w:t>
      </w:r>
      <w:r w:rsidRPr="00BB0EB6">
        <w:rPr>
          <w:rFonts w:ascii="Arial" w:hAnsi="Arial" w:cs="Arial"/>
          <w:b/>
          <w:bCs/>
          <w:sz w:val="20"/>
          <w:szCs w:val="20"/>
        </w:rPr>
        <w:t>Republice Czeskiej, Niemczech, Irlandii, Hiszpanii, Austrii, Polsce, Finlandii, Szwecji</w:t>
      </w:r>
      <w:r w:rsidRPr="00BB0EB6">
        <w:rPr>
          <w:rFonts w:ascii="Arial" w:hAnsi="Arial" w:cs="Arial"/>
          <w:sz w:val="20"/>
          <w:szCs w:val="20"/>
        </w:rPr>
        <w:t xml:space="preserve"> i </w:t>
      </w:r>
      <w:r w:rsidR="000A20DF">
        <w:rPr>
          <w:rFonts w:ascii="Arial" w:hAnsi="Arial" w:cs="Arial"/>
          <w:b/>
          <w:bCs/>
          <w:sz w:val="20"/>
          <w:szCs w:val="20"/>
        </w:rPr>
        <w:t>Wielkiej Brytanii</w:t>
      </w:r>
      <w:r w:rsidRPr="00BB0EB6">
        <w:rPr>
          <w:rFonts w:ascii="Arial" w:hAnsi="Arial" w:cs="Arial"/>
          <w:sz w:val="20"/>
          <w:szCs w:val="20"/>
        </w:rPr>
        <w:t xml:space="preserve">). Na </w:t>
      </w:r>
      <w:r w:rsidRPr="00BB0EB6">
        <w:rPr>
          <w:rFonts w:ascii="Arial" w:hAnsi="Arial" w:cs="Arial"/>
          <w:b/>
          <w:bCs/>
          <w:sz w:val="20"/>
          <w:szCs w:val="20"/>
        </w:rPr>
        <w:t>Węgrzech</w:t>
      </w:r>
      <w:r w:rsidRPr="00BB0EB6">
        <w:rPr>
          <w:rFonts w:ascii="Arial" w:hAnsi="Arial" w:cs="Arial"/>
          <w:sz w:val="20"/>
          <w:szCs w:val="20"/>
        </w:rPr>
        <w:t xml:space="preserve"> i w </w:t>
      </w:r>
      <w:r w:rsidRPr="00BB0EB6">
        <w:rPr>
          <w:rFonts w:ascii="Arial" w:hAnsi="Arial" w:cs="Arial"/>
          <w:b/>
          <w:bCs/>
          <w:sz w:val="20"/>
          <w:szCs w:val="20"/>
        </w:rPr>
        <w:t>Rumunii</w:t>
      </w:r>
      <w:r w:rsidRPr="00BB0EB6">
        <w:rPr>
          <w:rFonts w:ascii="Arial" w:hAnsi="Arial" w:cs="Arial"/>
          <w:sz w:val="20"/>
          <w:szCs w:val="20"/>
        </w:rPr>
        <w:t xml:space="preserve"> odnotowano jednak bardziej rozpowszechnione praktyki dotyczące wstrzykiwania tych substancji. Na przykład ogólnokrajow</w:t>
      </w:r>
      <w:r w:rsidR="009E59C3">
        <w:rPr>
          <w:rFonts w:ascii="Arial" w:hAnsi="Arial" w:cs="Arial"/>
          <w:sz w:val="20"/>
          <w:szCs w:val="20"/>
        </w:rPr>
        <w:t xml:space="preserve">e badanie </w:t>
      </w:r>
      <w:r w:rsidRPr="00BB0EB6">
        <w:rPr>
          <w:rFonts w:ascii="Arial" w:hAnsi="Arial" w:cs="Arial"/>
          <w:sz w:val="20"/>
          <w:szCs w:val="20"/>
        </w:rPr>
        <w:t xml:space="preserve">programów wymiany igieł i strzykawek na </w:t>
      </w:r>
      <w:r w:rsidRPr="00BB0EB6">
        <w:rPr>
          <w:rFonts w:ascii="Arial" w:hAnsi="Arial" w:cs="Arial"/>
          <w:b/>
          <w:bCs/>
          <w:sz w:val="20"/>
          <w:szCs w:val="20"/>
        </w:rPr>
        <w:t>Węgrzech</w:t>
      </w:r>
      <w:r w:rsidRPr="00BB0EB6">
        <w:rPr>
          <w:rFonts w:ascii="Arial" w:hAnsi="Arial" w:cs="Arial"/>
          <w:sz w:val="20"/>
          <w:szCs w:val="20"/>
        </w:rPr>
        <w:t xml:space="preserve"> ujawnił</w:t>
      </w:r>
      <w:r w:rsidR="009E59C3">
        <w:rPr>
          <w:rFonts w:ascii="Arial" w:hAnsi="Arial" w:cs="Arial"/>
          <w:sz w:val="20"/>
          <w:szCs w:val="20"/>
        </w:rPr>
        <w:t>o</w:t>
      </w:r>
      <w:r w:rsidRPr="00BB0EB6">
        <w:rPr>
          <w:rFonts w:ascii="Arial" w:hAnsi="Arial" w:cs="Arial"/>
          <w:sz w:val="20"/>
          <w:szCs w:val="20"/>
        </w:rPr>
        <w:t xml:space="preserve">, że w 2012 r. 36% osób uczestniczących w programach wstrzykiwało katynony jako narkotyk podstawowy. </w:t>
      </w:r>
    </w:p>
    <w:p w:rsidR="007C6AC6" w:rsidRPr="00BB0EB6" w:rsidRDefault="007C6AC6" w:rsidP="007C6AC6">
      <w:pPr>
        <w:spacing w:after="260" w:line="260" w:lineRule="exact"/>
        <w:rPr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Rosnące obawy budzi nowa praktyka wśród podgrupy mężczyzn utrzymujących stosunki seksualne z mężczyznami, którzy wstrzykują różne narkotyki (np. katynony i metamfetaminę) podczas tzw. imprez z „chemicznym seksem” („chem sex”). Ten nowy rodzaj zachowania, wiążący się także z ryzykownymi praktykami seksualnymi, zaobserwowano na razie w niektórych dużych miastach Europy. Biorąc pod uwagę potencjalne skutki nowych tendencji dotyczących iniekcyjnego używania katynonów, ścisłe monitorowanie tego problemu stanowi priorytet w zakresie zdrowia publicznego. </w:t>
      </w:r>
    </w:p>
    <w:p w:rsidR="007C6AC6" w:rsidRPr="00BB0EB6" w:rsidRDefault="007C6AC6" w:rsidP="00ED781C">
      <w:pPr>
        <w:keepNext/>
        <w:rPr>
          <w:rFonts w:ascii="Arial" w:hAnsi="Arial" w:cs="Arial"/>
          <w:b/>
          <w:sz w:val="20"/>
          <w:szCs w:val="20"/>
        </w:rPr>
      </w:pPr>
      <w:r w:rsidRPr="00BB0EB6">
        <w:rPr>
          <w:rFonts w:ascii="Arial" w:hAnsi="Arial" w:cs="Arial"/>
          <w:b/>
          <w:bCs/>
          <w:sz w:val="20"/>
          <w:szCs w:val="20"/>
        </w:rPr>
        <w:t>Metamfetamina: rosnące obawy związane z nowymi i zróżnicowanymi wzorami używania</w:t>
      </w:r>
    </w:p>
    <w:p w:rsidR="007C6AC6" w:rsidRPr="00BB0EB6" w:rsidRDefault="007C6AC6" w:rsidP="007C6AC6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Metamfetamina to środek pobudzający używany powszechnie w wielu regionach świata (np. w Azji Południowo-Wschodniej, w Stanach Zjednoczonych), gdzie od dawna stanowi poważne źródło problemów w dziedzinie zdrowia publicznego. Chociaż używanie metamfetaminy w Europie do tej pory ograniczało się </w:t>
      </w:r>
      <w:r w:rsidRPr="00BB0EB6">
        <w:rPr>
          <w:rFonts w:ascii="Arial" w:hAnsi="Arial" w:cs="Arial"/>
          <w:sz w:val="20"/>
          <w:szCs w:val="20"/>
        </w:rPr>
        <w:lastRenderedPageBreak/>
        <w:t xml:space="preserve">przede wszystkim do </w:t>
      </w:r>
      <w:r w:rsidRPr="00BB0EB6">
        <w:rPr>
          <w:rFonts w:ascii="Arial" w:hAnsi="Arial" w:cs="Arial"/>
          <w:b/>
          <w:bCs/>
          <w:sz w:val="20"/>
          <w:szCs w:val="20"/>
        </w:rPr>
        <w:t>Republiki Czeskiej</w:t>
      </w:r>
      <w:r w:rsidRPr="00BB0EB6">
        <w:rPr>
          <w:rFonts w:ascii="Arial" w:hAnsi="Arial" w:cs="Arial"/>
          <w:sz w:val="20"/>
          <w:szCs w:val="20"/>
        </w:rPr>
        <w:t xml:space="preserve"> i </w:t>
      </w:r>
      <w:r w:rsidRPr="00BB0EB6">
        <w:rPr>
          <w:rFonts w:ascii="Arial" w:hAnsi="Arial" w:cs="Arial"/>
          <w:b/>
          <w:bCs/>
          <w:sz w:val="20"/>
          <w:szCs w:val="20"/>
        </w:rPr>
        <w:t>Słowacji</w:t>
      </w:r>
      <w:r w:rsidRPr="00BB0EB6">
        <w:rPr>
          <w:rFonts w:ascii="Arial" w:hAnsi="Arial" w:cs="Arial"/>
          <w:sz w:val="20"/>
          <w:szCs w:val="20"/>
        </w:rPr>
        <w:t>, obecnie pojawiają się nowe ogniska i wzor</w:t>
      </w:r>
      <w:r w:rsidR="009E59C3">
        <w:rPr>
          <w:rFonts w:ascii="Arial" w:hAnsi="Arial" w:cs="Arial"/>
          <w:sz w:val="20"/>
          <w:szCs w:val="20"/>
        </w:rPr>
        <w:t>y</w:t>
      </w:r>
      <w:r w:rsidRPr="00BB0EB6">
        <w:rPr>
          <w:rFonts w:ascii="Arial" w:hAnsi="Arial" w:cs="Arial"/>
          <w:sz w:val="20"/>
          <w:szCs w:val="20"/>
        </w:rPr>
        <w:t xml:space="preserve"> używania tej substancji w innych krajach i w zróżnicowanych populacjach. Odnotowano na przykład </w:t>
      </w:r>
      <w:r w:rsidRPr="00BB0EB6">
        <w:rPr>
          <w:rFonts w:ascii="Arial" w:hAnsi="Arial" w:cs="Arial"/>
          <w:i/>
          <w:iCs/>
          <w:sz w:val="20"/>
          <w:szCs w:val="20"/>
        </w:rPr>
        <w:t xml:space="preserve">wciąganie przez nos </w:t>
      </w:r>
      <w:r w:rsidRPr="00BB0EB6">
        <w:rPr>
          <w:rFonts w:ascii="Arial" w:hAnsi="Arial" w:cs="Arial"/>
          <w:sz w:val="20"/>
          <w:szCs w:val="20"/>
        </w:rPr>
        <w:t xml:space="preserve">metamfetaminy w proszku wśród osób rekreacyjnie używających narkotyków w </w:t>
      </w:r>
      <w:r w:rsidRPr="00BB0EB6">
        <w:rPr>
          <w:rFonts w:ascii="Arial" w:hAnsi="Arial" w:cs="Arial"/>
          <w:b/>
          <w:bCs/>
          <w:sz w:val="20"/>
          <w:szCs w:val="20"/>
        </w:rPr>
        <w:t>Niemczech</w:t>
      </w:r>
      <w:r w:rsidRPr="00BB0EB6">
        <w:rPr>
          <w:rFonts w:ascii="Arial" w:hAnsi="Arial" w:cs="Arial"/>
          <w:sz w:val="20"/>
          <w:szCs w:val="20"/>
        </w:rPr>
        <w:t xml:space="preserve">; </w:t>
      </w:r>
      <w:r w:rsidRPr="00BB0EB6">
        <w:rPr>
          <w:rFonts w:ascii="Arial" w:hAnsi="Arial" w:cs="Arial"/>
          <w:i/>
          <w:iCs/>
          <w:sz w:val="20"/>
          <w:szCs w:val="20"/>
        </w:rPr>
        <w:t xml:space="preserve">palenie </w:t>
      </w:r>
      <w:r w:rsidRPr="00BB0EB6">
        <w:rPr>
          <w:rFonts w:ascii="Arial" w:hAnsi="Arial" w:cs="Arial"/>
          <w:sz w:val="20"/>
          <w:szCs w:val="20"/>
        </w:rPr>
        <w:t xml:space="preserve">metamfetaminy krystalicznej wśród osób iniekcyjnie używających opioidów w </w:t>
      </w:r>
      <w:r w:rsidRPr="00BB0EB6">
        <w:rPr>
          <w:rFonts w:ascii="Arial" w:hAnsi="Arial" w:cs="Arial"/>
          <w:b/>
          <w:bCs/>
          <w:sz w:val="20"/>
          <w:szCs w:val="20"/>
        </w:rPr>
        <w:t>Grecji</w:t>
      </w:r>
      <w:r w:rsidRPr="00BB0EB6">
        <w:rPr>
          <w:rFonts w:ascii="Arial" w:hAnsi="Arial" w:cs="Arial"/>
          <w:sz w:val="20"/>
          <w:szCs w:val="20"/>
        </w:rPr>
        <w:t xml:space="preserve">, na </w:t>
      </w:r>
      <w:r w:rsidRPr="00BB0EB6">
        <w:rPr>
          <w:rFonts w:ascii="Arial" w:hAnsi="Arial" w:cs="Arial"/>
          <w:b/>
          <w:bCs/>
          <w:sz w:val="20"/>
          <w:szCs w:val="20"/>
        </w:rPr>
        <w:t>Cyprze</w:t>
      </w:r>
      <w:r w:rsidRPr="00BB0EB6">
        <w:rPr>
          <w:rFonts w:ascii="Arial" w:hAnsi="Arial" w:cs="Arial"/>
          <w:sz w:val="20"/>
          <w:szCs w:val="20"/>
        </w:rPr>
        <w:t xml:space="preserve"> i w </w:t>
      </w:r>
      <w:r w:rsidRPr="00BB0EB6">
        <w:rPr>
          <w:rFonts w:ascii="Arial" w:hAnsi="Arial" w:cs="Arial"/>
          <w:b/>
          <w:bCs/>
          <w:sz w:val="20"/>
          <w:szCs w:val="20"/>
        </w:rPr>
        <w:t>Turcji</w:t>
      </w:r>
      <w:r w:rsidRPr="00BB0EB6">
        <w:rPr>
          <w:rFonts w:ascii="Arial" w:hAnsi="Arial" w:cs="Arial"/>
          <w:sz w:val="20"/>
          <w:szCs w:val="20"/>
        </w:rPr>
        <w:t xml:space="preserve">; oraz </w:t>
      </w:r>
      <w:r w:rsidRPr="00BB0EB6">
        <w:rPr>
          <w:rFonts w:ascii="Arial" w:hAnsi="Arial" w:cs="Arial"/>
          <w:i/>
          <w:iCs/>
          <w:sz w:val="20"/>
          <w:szCs w:val="20"/>
        </w:rPr>
        <w:t xml:space="preserve">wstrzykiwanie </w:t>
      </w:r>
      <w:r w:rsidRPr="00BB0EB6">
        <w:rPr>
          <w:rFonts w:ascii="Arial" w:hAnsi="Arial" w:cs="Arial"/>
          <w:sz w:val="20"/>
          <w:szCs w:val="20"/>
        </w:rPr>
        <w:t xml:space="preserve">tego narkotyku łącznie z innymi substancjami </w:t>
      </w:r>
      <w:r w:rsidR="009E59C3">
        <w:rPr>
          <w:rFonts w:ascii="Arial" w:hAnsi="Arial" w:cs="Arial"/>
          <w:sz w:val="20"/>
          <w:szCs w:val="20"/>
        </w:rPr>
        <w:t>przez</w:t>
      </w:r>
      <w:r w:rsidR="009E59C3" w:rsidRPr="00BB0EB6">
        <w:rPr>
          <w:rFonts w:ascii="Arial" w:hAnsi="Arial" w:cs="Arial"/>
          <w:sz w:val="20"/>
          <w:szCs w:val="20"/>
        </w:rPr>
        <w:t xml:space="preserve"> </w:t>
      </w:r>
      <w:r w:rsidRPr="00BB0EB6">
        <w:rPr>
          <w:rFonts w:ascii="Arial" w:hAnsi="Arial" w:cs="Arial"/>
          <w:sz w:val="20"/>
          <w:szCs w:val="20"/>
        </w:rPr>
        <w:t xml:space="preserve">mężczyzn utrzymujących stosunki seksualne z mężczyznami (zob. powyżej). </w:t>
      </w:r>
    </w:p>
    <w:p w:rsidR="007C6AC6" w:rsidRPr="00BB0EB6" w:rsidRDefault="007C6AC6" w:rsidP="007C6AC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W swojej nowej analizie </w:t>
      </w:r>
      <w:r w:rsidRPr="00BB0EB6">
        <w:rPr>
          <w:rFonts w:ascii="Arial" w:hAnsi="Arial" w:cs="Arial"/>
          <w:b/>
          <w:bCs/>
          <w:sz w:val="20"/>
          <w:szCs w:val="20"/>
        </w:rPr>
        <w:t xml:space="preserve">EMCDDA </w:t>
      </w:r>
      <w:r w:rsidRPr="00BB0EB6">
        <w:rPr>
          <w:rFonts w:ascii="Arial" w:hAnsi="Arial" w:cs="Arial"/>
          <w:sz w:val="20"/>
          <w:szCs w:val="20"/>
        </w:rPr>
        <w:t>przedstawia aktualne wyzwania związane z reagowaniem na używanie tego narkotyku w dziedzinie zdrowia i w wymiarze społecznym. Nie ma jeszcze zarejestrowanych środków farmakologicznych służących do leczenia uzależnienia od metamfetaminy, ale skuteczność wykazują interwencje psychospołeczne. Agencja i</w:t>
      </w:r>
      <w:r w:rsidR="00B73680">
        <w:rPr>
          <w:rFonts w:ascii="Arial" w:hAnsi="Arial" w:cs="Arial"/>
          <w:sz w:val="20"/>
          <w:szCs w:val="20"/>
        </w:rPr>
        <w:t>nformuje</w:t>
      </w:r>
      <w:r w:rsidRPr="00BB0EB6">
        <w:rPr>
          <w:rFonts w:ascii="Arial" w:hAnsi="Arial" w:cs="Arial"/>
          <w:sz w:val="20"/>
          <w:szCs w:val="20"/>
        </w:rPr>
        <w:t xml:space="preserve">: „Aktualny problem </w:t>
      </w:r>
      <w:r w:rsidR="0014655B">
        <w:rPr>
          <w:rFonts w:ascii="Arial" w:hAnsi="Arial" w:cs="Arial"/>
          <w:sz w:val="20"/>
          <w:szCs w:val="20"/>
        </w:rPr>
        <w:t xml:space="preserve">dotyczący </w:t>
      </w:r>
      <w:r w:rsidRPr="00BB0EB6">
        <w:rPr>
          <w:rFonts w:ascii="Arial" w:hAnsi="Arial" w:cs="Arial"/>
          <w:sz w:val="20"/>
          <w:szCs w:val="20"/>
        </w:rPr>
        <w:t>metamfetaminy w Europie ma wiele twarzy i wymaga dostosowania</w:t>
      </w:r>
      <w:r w:rsidR="0014655B">
        <w:rPr>
          <w:rFonts w:ascii="Arial" w:hAnsi="Arial" w:cs="Arial"/>
          <w:sz w:val="20"/>
          <w:szCs w:val="20"/>
        </w:rPr>
        <w:t xml:space="preserve"> oraz rozwinięcia</w:t>
      </w:r>
      <w:r w:rsidRPr="00BB0EB6">
        <w:rPr>
          <w:rFonts w:ascii="Arial" w:hAnsi="Arial" w:cs="Arial"/>
          <w:sz w:val="20"/>
          <w:szCs w:val="20"/>
        </w:rPr>
        <w:t xml:space="preserve"> </w:t>
      </w:r>
      <w:r w:rsidR="007C5E0E" w:rsidRPr="00BB0EB6">
        <w:rPr>
          <w:rFonts w:ascii="Arial" w:hAnsi="Arial" w:cs="Arial"/>
          <w:sz w:val="20"/>
          <w:szCs w:val="20"/>
        </w:rPr>
        <w:t xml:space="preserve">reakcji </w:t>
      </w:r>
      <w:r w:rsidRPr="00BB0EB6">
        <w:rPr>
          <w:rFonts w:ascii="Arial" w:hAnsi="Arial" w:cs="Arial"/>
          <w:sz w:val="20"/>
          <w:szCs w:val="20"/>
        </w:rPr>
        <w:t>odpowiednich do lokalnych wzor</w:t>
      </w:r>
      <w:r w:rsidR="00980658">
        <w:rPr>
          <w:rFonts w:ascii="Arial" w:hAnsi="Arial" w:cs="Arial"/>
          <w:sz w:val="20"/>
          <w:szCs w:val="20"/>
        </w:rPr>
        <w:t>ó</w:t>
      </w:r>
      <w:r w:rsidRPr="00BB0EB6">
        <w:rPr>
          <w:rFonts w:ascii="Arial" w:hAnsi="Arial" w:cs="Arial"/>
          <w:sz w:val="20"/>
          <w:szCs w:val="20"/>
        </w:rPr>
        <w:t>w używania i zaobserwowanych problemów”</w:t>
      </w:r>
      <w:r w:rsidR="00BA266A">
        <w:rPr>
          <w:rFonts w:ascii="Arial" w:hAnsi="Arial" w:cs="Arial"/>
          <w:sz w:val="20"/>
          <w:szCs w:val="20"/>
        </w:rPr>
        <w:t>.</w:t>
      </w:r>
      <w:r w:rsidRPr="00BB0EB6">
        <w:rPr>
          <w:rFonts w:ascii="Arial" w:hAnsi="Arial" w:cs="Arial"/>
          <w:sz w:val="20"/>
          <w:szCs w:val="20"/>
        </w:rPr>
        <w:t xml:space="preserve"> </w:t>
      </w:r>
    </w:p>
    <w:p w:rsidR="007C6AC6" w:rsidRPr="00BB0EB6" w:rsidRDefault="007C6AC6" w:rsidP="007C6AC6">
      <w:pPr>
        <w:rPr>
          <w:rFonts w:ascii="Arial" w:hAnsi="Arial" w:cs="Arial"/>
          <w:b/>
          <w:sz w:val="20"/>
          <w:szCs w:val="20"/>
        </w:rPr>
      </w:pPr>
      <w:r w:rsidRPr="00BB0EB6">
        <w:rPr>
          <w:rFonts w:ascii="Arial" w:hAnsi="Arial" w:cs="Arial"/>
          <w:b/>
          <w:bCs/>
          <w:sz w:val="20"/>
          <w:szCs w:val="20"/>
        </w:rPr>
        <w:t>Przegląd postępów w farmakologicznym leczeniu uzależnienia od kokainy</w:t>
      </w:r>
    </w:p>
    <w:p w:rsidR="007C6AC6" w:rsidRPr="00BB0EB6" w:rsidRDefault="007C6AC6" w:rsidP="007C6AC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>Kokaina pozostaje najczęściej stosowanym nielegalnym środkiem pobudzającym w Europie, a leczenie uzależnienia od k</w:t>
      </w:r>
      <w:r w:rsidR="0064329F" w:rsidRPr="00BB0EB6">
        <w:rPr>
          <w:rFonts w:ascii="Arial" w:hAnsi="Arial" w:cs="Arial"/>
          <w:sz w:val="20"/>
          <w:szCs w:val="20"/>
        </w:rPr>
        <w:t xml:space="preserve">okainy wciąż stanowi wyzwanie. </w:t>
      </w:r>
      <w:r w:rsidRPr="00BB0EB6">
        <w:rPr>
          <w:rFonts w:ascii="Arial" w:hAnsi="Arial" w:cs="Arial"/>
          <w:sz w:val="20"/>
          <w:szCs w:val="20"/>
        </w:rPr>
        <w:t xml:space="preserve">W 2012 r. w Europie 14% osób rozpoczynających specjalistyczne leczenie uzależnienia od narkotyków zgłaszało kokainę jako narkotyk podstawowy. </w:t>
      </w:r>
      <w:r w:rsidRPr="00BB0EB6">
        <w:rPr>
          <w:rFonts w:ascii="Arial" w:hAnsi="Arial" w:cs="Arial"/>
          <w:b/>
          <w:bCs/>
          <w:sz w:val="20"/>
          <w:szCs w:val="20"/>
        </w:rPr>
        <w:t>EMCDDA</w:t>
      </w:r>
      <w:r w:rsidRPr="00BB0EB6">
        <w:rPr>
          <w:rFonts w:ascii="Arial" w:hAnsi="Arial" w:cs="Arial"/>
          <w:sz w:val="20"/>
          <w:szCs w:val="20"/>
        </w:rPr>
        <w:t xml:space="preserve"> przedstawia metaanalizę sześciu opracowań dotyczących skuteczności środków farmakologicznych w leczeniu uzależnienia od kokainy oraz ich akceptacji przez osoby uzależnione.</w:t>
      </w:r>
      <w:r w:rsidR="0064329F" w:rsidRPr="00BB0EB6">
        <w:rPr>
          <w:rFonts w:ascii="Arial" w:hAnsi="Arial" w:cs="Arial"/>
          <w:sz w:val="20"/>
          <w:szCs w:val="20"/>
        </w:rPr>
        <w:t xml:space="preserve"> </w:t>
      </w:r>
      <w:r w:rsidRPr="00BB0EB6">
        <w:rPr>
          <w:rFonts w:ascii="Arial" w:hAnsi="Arial" w:cs="Arial"/>
          <w:sz w:val="20"/>
          <w:szCs w:val="20"/>
        </w:rPr>
        <w:t xml:space="preserve">Oryginalne opracowania autorstwa Grupy Cochrane’a ds. narkotyków i alkoholu obejmują 92 badania </w:t>
      </w:r>
      <w:r w:rsidR="00E57A1C">
        <w:rPr>
          <w:rFonts w:ascii="Arial" w:hAnsi="Arial" w:cs="Arial"/>
          <w:sz w:val="20"/>
          <w:szCs w:val="20"/>
        </w:rPr>
        <w:t xml:space="preserve"> </w:t>
      </w:r>
      <w:r w:rsidRPr="00BB0EB6">
        <w:rPr>
          <w:rFonts w:ascii="Arial" w:hAnsi="Arial" w:cs="Arial"/>
          <w:sz w:val="20"/>
          <w:szCs w:val="20"/>
        </w:rPr>
        <w:t xml:space="preserve">(85 ze Stanów Zjednoczonych) i ponad 7000 uczestników. Badania te pokazują, że niektóre leki mogą zredukować głód narkotykowy, ale nie ma jednego środka, który leczyłby uzależnienie od kokainy. </w:t>
      </w:r>
      <w:r w:rsidR="00E57A1C">
        <w:rPr>
          <w:rFonts w:ascii="Arial" w:hAnsi="Arial" w:cs="Arial"/>
          <w:sz w:val="20"/>
          <w:szCs w:val="20"/>
        </w:rPr>
        <w:t xml:space="preserve">        </w:t>
      </w:r>
      <w:r w:rsidRPr="00BB0EB6">
        <w:rPr>
          <w:rFonts w:ascii="Arial" w:hAnsi="Arial" w:cs="Arial"/>
          <w:sz w:val="20"/>
          <w:szCs w:val="20"/>
        </w:rPr>
        <w:t xml:space="preserve">Trwają dalsze badania w tym obszarze, a tymczasem interwencje psychospołeczne pozostają podstawowym elementem leczenia uzależnienia od kokainy (zob. wideo). </w:t>
      </w:r>
    </w:p>
    <w:p w:rsidR="007C6AC6" w:rsidRPr="00BB0EB6" w:rsidRDefault="007C6AC6" w:rsidP="007C6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0EB6">
        <w:rPr>
          <w:rFonts w:ascii="Arial" w:hAnsi="Arial" w:cs="Arial"/>
          <w:b/>
          <w:bCs/>
          <w:sz w:val="20"/>
          <w:szCs w:val="20"/>
        </w:rPr>
        <w:t>Krajowa produkcja marihuany jako podstawowe źródło</w:t>
      </w:r>
      <w:r w:rsidR="00980658">
        <w:rPr>
          <w:rFonts w:ascii="Arial" w:hAnsi="Arial" w:cs="Arial"/>
          <w:b/>
          <w:bCs/>
          <w:sz w:val="20"/>
          <w:szCs w:val="20"/>
        </w:rPr>
        <w:t xml:space="preserve"> podaży </w:t>
      </w:r>
      <w:r w:rsidRPr="00BB0EB6">
        <w:rPr>
          <w:rFonts w:ascii="Arial" w:hAnsi="Arial" w:cs="Arial"/>
          <w:b/>
          <w:bCs/>
          <w:sz w:val="20"/>
          <w:szCs w:val="20"/>
        </w:rPr>
        <w:t>tego narkotyku oraz rosnący import haszyszu</w:t>
      </w:r>
      <w:r w:rsidRPr="00BB0EB6">
        <w:rPr>
          <w:rFonts w:ascii="Arial" w:hAnsi="Arial" w:cs="Arial"/>
          <w:sz w:val="20"/>
          <w:szCs w:val="20"/>
        </w:rPr>
        <w:t xml:space="preserve"> </w:t>
      </w:r>
    </w:p>
    <w:p w:rsidR="007C6AC6" w:rsidRPr="00BB0EB6" w:rsidRDefault="007C6AC6" w:rsidP="007C6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7C6AC6" w:rsidRPr="00BB0EB6" w:rsidRDefault="007C6AC6" w:rsidP="007C6AC6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Europa od dawna pozostaje jednym z największych rynków konsumenckich konopi indyjskich, w szczególności haszyszu importowanego głównie z </w:t>
      </w:r>
      <w:r w:rsidRPr="00BB0EB6">
        <w:rPr>
          <w:rFonts w:ascii="Arial" w:hAnsi="Arial" w:cs="Arial"/>
          <w:b/>
          <w:bCs/>
          <w:sz w:val="20"/>
          <w:szCs w:val="20"/>
        </w:rPr>
        <w:t>Maroka</w:t>
      </w:r>
      <w:r w:rsidRPr="00BB0EB6">
        <w:rPr>
          <w:rFonts w:ascii="Arial" w:hAnsi="Arial" w:cs="Arial"/>
          <w:sz w:val="20"/>
          <w:szCs w:val="20"/>
        </w:rPr>
        <w:t xml:space="preserve">. Każdego roku w Europie spożywa się ok. 2050 ton haszyszu i marihuany. </w:t>
      </w:r>
      <w:r w:rsidRPr="00BB0EB6">
        <w:rPr>
          <w:rFonts w:ascii="Arial" w:hAnsi="Arial" w:cs="Arial"/>
          <w:b/>
          <w:bCs/>
          <w:sz w:val="20"/>
          <w:szCs w:val="20"/>
        </w:rPr>
        <w:t>EMCDDA</w:t>
      </w:r>
      <w:r w:rsidRPr="00BB0EB6">
        <w:rPr>
          <w:rFonts w:ascii="Arial" w:hAnsi="Arial" w:cs="Arial"/>
          <w:sz w:val="20"/>
          <w:szCs w:val="20"/>
        </w:rPr>
        <w:t xml:space="preserve"> donosi, że rynek konsumencki konopi indyjskich w Europie zdominowany jest obecnie przez marihuanę, </w:t>
      </w:r>
      <w:r w:rsidR="00491A31">
        <w:rPr>
          <w:rFonts w:ascii="Arial" w:hAnsi="Arial" w:cs="Arial"/>
          <w:sz w:val="20"/>
          <w:szCs w:val="20"/>
        </w:rPr>
        <w:t>która</w:t>
      </w:r>
      <w:r w:rsidR="00416193" w:rsidRPr="00BB0EB6">
        <w:rPr>
          <w:rFonts w:ascii="Arial" w:hAnsi="Arial" w:cs="Arial"/>
          <w:sz w:val="20"/>
          <w:szCs w:val="20"/>
        </w:rPr>
        <w:t xml:space="preserve"> </w:t>
      </w:r>
      <w:r w:rsidRPr="00BB0EB6">
        <w:rPr>
          <w:rFonts w:ascii="Arial" w:hAnsi="Arial" w:cs="Arial"/>
          <w:sz w:val="20"/>
          <w:szCs w:val="20"/>
        </w:rPr>
        <w:t>na użytek krajowy pochodz</w:t>
      </w:r>
      <w:r w:rsidR="00416193">
        <w:rPr>
          <w:rFonts w:ascii="Arial" w:hAnsi="Arial" w:cs="Arial"/>
          <w:sz w:val="20"/>
          <w:szCs w:val="20"/>
        </w:rPr>
        <w:t>i</w:t>
      </w:r>
      <w:r w:rsidRPr="00BB0EB6">
        <w:rPr>
          <w:rFonts w:ascii="Arial" w:hAnsi="Arial" w:cs="Arial"/>
          <w:sz w:val="20"/>
          <w:szCs w:val="20"/>
        </w:rPr>
        <w:t xml:space="preserve"> z </w:t>
      </w:r>
      <w:r w:rsidR="00416193" w:rsidRPr="00BB0EB6">
        <w:rPr>
          <w:rFonts w:ascii="Arial" w:hAnsi="Arial" w:cs="Arial"/>
          <w:sz w:val="20"/>
          <w:szCs w:val="20"/>
        </w:rPr>
        <w:t xml:space="preserve">produkcji </w:t>
      </w:r>
      <w:r w:rsidRPr="00BB0EB6">
        <w:rPr>
          <w:rFonts w:ascii="Arial" w:hAnsi="Arial" w:cs="Arial"/>
          <w:sz w:val="20"/>
          <w:szCs w:val="20"/>
        </w:rPr>
        <w:t>krajowej</w:t>
      </w:r>
      <w:r w:rsidR="00416193">
        <w:rPr>
          <w:rFonts w:ascii="Arial" w:hAnsi="Arial" w:cs="Arial"/>
          <w:sz w:val="20"/>
          <w:szCs w:val="20"/>
        </w:rPr>
        <w:t>.</w:t>
      </w:r>
      <w:r w:rsidRPr="00BB0EB6">
        <w:rPr>
          <w:rFonts w:ascii="Arial" w:hAnsi="Arial" w:cs="Arial"/>
          <w:sz w:val="20"/>
          <w:szCs w:val="20"/>
        </w:rPr>
        <w:t xml:space="preserve"> W Europie wykrywa się coraz więcej upraw konopi indyjskich.</w:t>
      </w:r>
    </w:p>
    <w:p w:rsidR="007C6AC6" w:rsidRPr="00ED781C" w:rsidRDefault="007C6AC6" w:rsidP="007C6AC6">
      <w:pPr>
        <w:autoSpaceDE w:val="0"/>
        <w:autoSpaceDN w:val="0"/>
        <w:adjustRightInd w:val="0"/>
        <w:spacing w:after="260" w:line="260" w:lineRule="exact"/>
      </w:pPr>
      <w:r w:rsidRPr="00BB0EB6">
        <w:rPr>
          <w:rFonts w:ascii="Arial" w:hAnsi="Arial" w:cs="Arial"/>
          <w:sz w:val="20"/>
          <w:szCs w:val="20"/>
        </w:rPr>
        <w:t xml:space="preserve">W ciągu ostatnich dziesięciu lat liczba konfiskat marihuany w Europie przekroczyła liczbę konfiskat haszyszu. W 2012 r. zgłoszono ok. 457 000 konfiskat marihuany i 258 000 konfiskat haszyszu. W tym samym roku skonfiskowano około siedem milionów roślin konopi indyjskich, czyli ponad 2,5 </w:t>
      </w:r>
      <w:proofErr w:type="spellStart"/>
      <w:r w:rsidRPr="00BB0EB6">
        <w:rPr>
          <w:rFonts w:ascii="Arial" w:hAnsi="Arial" w:cs="Arial"/>
          <w:sz w:val="20"/>
          <w:szCs w:val="20"/>
        </w:rPr>
        <w:t>raz</w:t>
      </w:r>
      <w:r w:rsidR="003F213F">
        <w:rPr>
          <w:rFonts w:ascii="Arial" w:hAnsi="Arial" w:cs="Arial"/>
          <w:sz w:val="20"/>
          <w:szCs w:val="20"/>
        </w:rPr>
        <w:t>a</w:t>
      </w:r>
      <w:proofErr w:type="spellEnd"/>
      <w:r w:rsidRPr="00BB0EB6">
        <w:rPr>
          <w:rFonts w:ascii="Arial" w:hAnsi="Arial" w:cs="Arial"/>
          <w:sz w:val="20"/>
          <w:szCs w:val="20"/>
        </w:rPr>
        <w:t xml:space="preserve"> więcej niż pięć lat wcześniej. Obawy budzą innowacje </w:t>
      </w:r>
      <w:r w:rsidR="00416193">
        <w:rPr>
          <w:rFonts w:ascii="Arial" w:hAnsi="Arial" w:cs="Arial"/>
          <w:sz w:val="20"/>
          <w:szCs w:val="20"/>
        </w:rPr>
        <w:t xml:space="preserve">wprowadzane w ostatnich latach </w:t>
      </w:r>
      <w:r w:rsidRPr="00BB0EB6">
        <w:rPr>
          <w:rFonts w:ascii="Arial" w:hAnsi="Arial" w:cs="Arial"/>
          <w:sz w:val="20"/>
          <w:szCs w:val="20"/>
        </w:rPr>
        <w:t xml:space="preserve">w produkcji konopi indyjskich (zob. wideo), dzięki którym produkowane są rośliny o dużej zawartości THC (substancji czynnej w konopiach indyjskich) i małej zawartości CBD (substancji antypsychotycznej). Chociaż siła działania obydwu postaci konopi indyjskich rośnie od 2006 r., w latach 2011-2012 odnotowano </w:t>
      </w:r>
      <w:r w:rsidR="003F213F">
        <w:rPr>
          <w:rFonts w:ascii="Arial" w:hAnsi="Arial" w:cs="Arial"/>
          <w:sz w:val="20"/>
          <w:szCs w:val="20"/>
        </w:rPr>
        <w:t>dość</w:t>
      </w:r>
      <w:r w:rsidR="003F213F" w:rsidRPr="00BB0EB6">
        <w:rPr>
          <w:rFonts w:ascii="Arial" w:hAnsi="Arial" w:cs="Arial"/>
          <w:sz w:val="20"/>
          <w:szCs w:val="20"/>
        </w:rPr>
        <w:t xml:space="preserve"> </w:t>
      </w:r>
      <w:r w:rsidRPr="00BB0EB6">
        <w:rPr>
          <w:rFonts w:ascii="Arial" w:hAnsi="Arial" w:cs="Arial"/>
          <w:sz w:val="20"/>
          <w:szCs w:val="20"/>
        </w:rPr>
        <w:t>gwałtowny wzrost siły działania haszyszu (zob. grafika informacyjna na temat konopi indyjskich, Europejski raport narkotykowy, rozdział 1</w:t>
      </w:r>
      <w:r w:rsidRPr="00ED781C">
        <w:t xml:space="preserve">). </w:t>
      </w:r>
    </w:p>
    <w:p w:rsidR="007C6AC6" w:rsidRPr="00BB0EB6" w:rsidRDefault="007C6AC6" w:rsidP="00ED781C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b/>
          <w:bCs/>
          <w:sz w:val="20"/>
          <w:szCs w:val="20"/>
        </w:rPr>
        <w:t>Leczenie uzależnienia od narkotyków przez Internet – nowe metody interakcji z osobami używającymi narkotyków</w:t>
      </w:r>
      <w:r w:rsidRPr="00BB0EB6">
        <w:rPr>
          <w:rFonts w:ascii="Arial" w:hAnsi="Arial" w:cs="Arial"/>
          <w:sz w:val="20"/>
          <w:szCs w:val="20"/>
        </w:rPr>
        <w:t xml:space="preserve"> </w:t>
      </w:r>
    </w:p>
    <w:p w:rsidR="007C6AC6" w:rsidRPr="00BB0EB6" w:rsidRDefault="007C6AC6" w:rsidP="00ED781C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:rsidR="007C6AC6" w:rsidRPr="00BB0EB6" w:rsidRDefault="007C6AC6" w:rsidP="007C6AC6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B0EB6">
        <w:rPr>
          <w:rFonts w:ascii="Arial" w:hAnsi="Arial" w:cs="Arial"/>
          <w:sz w:val="20"/>
          <w:szCs w:val="20"/>
        </w:rPr>
        <w:t xml:space="preserve">Internet jest obecnie uznawany za wiarygodne narzędzie </w:t>
      </w:r>
      <w:r w:rsidR="00C02B24">
        <w:rPr>
          <w:rFonts w:ascii="Arial" w:hAnsi="Arial" w:cs="Arial"/>
          <w:sz w:val="20"/>
          <w:szCs w:val="20"/>
        </w:rPr>
        <w:t xml:space="preserve">służące </w:t>
      </w:r>
      <w:r w:rsidRPr="00BB0EB6">
        <w:rPr>
          <w:rFonts w:ascii="Arial" w:hAnsi="Arial" w:cs="Arial"/>
          <w:sz w:val="20"/>
          <w:szCs w:val="20"/>
        </w:rPr>
        <w:t xml:space="preserve">do edukowania na temat narkotyków i alkoholu, profilaktyki oraz leczenia w wielu różnych obszarach. </w:t>
      </w:r>
      <w:r w:rsidRPr="00BB0EB6">
        <w:rPr>
          <w:rFonts w:ascii="Arial" w:hAnsi="Arial" w:cs="Arial"/>
          <w:b/>
          <w:bCs/>
          <w:sz w:val="20"/>
          <w:szCs w:val="20"/>
        </w:rPr>
        <w:t>EMCDDA</w:t>
      </w:r>
      <w:r w:rsidRPr="00BB0EB6">
        <w:rPr>
          <w:rFonts w:ascii="Arial" w:hAnsi="Arial" w:cs="Arial"/>
          <w:sz w:val="20"/>
          <w:szCs w:val="20"/>
        </w:rPr>
        <w:t xml:space="preserve"> przedstawia postępy w internetowych programach leczenia uzależnienia od narkotyków (</w:t>
      </w:r>
      <w:r w:rsidR="00492C1D" w:rsidRPr="00E02B44">
        <w:rPr>
          <w:rFonts w:ascii="Arial" w:hAnsi="Arial" w:cs="Arial"/>
          <w:i/>
          <w:sz w:val="20"/>
          <w:szCs w:val="20"/>
        </w:rPr>
        <w:t>Internet-based drug treatment</w:t>
      </w:r>
      <w:r w:rsidR="00E02B44">
        <w:rPr>
          <w:rFonts w:ascii="Arial" w:hAnsi="Arial" w:cs="Arial"/>
          <w:sz w:val="20"/>
          <w:szCs w:val="20"/>
        </w:rPr>
        <w:t>/</w:t>
      </w:r>
      <w:r w:rsidRPr="00BB0EB6">
        <w:rPr>
          <w:rFonts w:ascii="Arial" w:hAnsi="Arial" w:cs="Arial"/>
          <w:sz w:val="20"/>
          <w:szCs w:val="20"/>
        </w:rPr>
        <w:t xml:space="preserve">IBDT), które rozwijane są w Europie od 10 lat, przede wszystkim w odniesieniu do konopi indyjskich. Programy IBDT wykorzystują uznane techniki psychospołeczne wbudowane w nowy mechanizm przekazu internetowego. Chociaż trzeba pamiętać o kwestii ochrony danych i anonimowości, korzyści </w:t>
      </w:r>
      <w:r w:rsidR="002824D0">
        <w:rPr>
          <w:rFonts w:ascii="Arial" w:hAnsi="Arial" w:cs="Arial"/>
          <w:sz w:val="20"/>
          <w:szCs w:val="20"/>
        </w:rPr>
        <w:t xml:space="preserve">wynikające z </w:t>
      </w:r>
      <w:r w:rsidRPr="00BB0EB6">
        <w:rPr>
          <w:rFonts w:ascii="Arial" w:hAnsi="Arial" w:cs="Arial"/>
          <w:sz w:val="20"/>
          <w:szCs w:val="20"/>
        </w:rPr>
        <w:lastRenderedPageBreak/>
        <w:t xml:space="preserve">tego rodzaju usług mogą obejmować: większy zasięg geograficzny, dostęp do osób nieobjętych specjalistycznymi programami leczenia oraz </w:t>
      </w:r>
      <w:r w:rsidR="002824D0">
        <w:rPr>
          <w:rFonts w:ascii="Arial" w:hAnsi="Arial" w:cs="Arial"/>
          <w:sz w:val="20"/>
          <w:szCs w:val="20"/>
        </w:rPr>
        <w:t>szybszą</w:t>
      </w:r>
      <w:r w:rsidRPr="00BB0EB6">
        <w:rPr>
          <w:rFonts w:ascii="Arial" w:hAnsi="Arial" w:cs="Arial"/>
          <w:sz w:val="20"/>
          <w:szCs w:val="20"/>
        </w:rPr>
        <w:t xml:space="preserve"> pomoc (bez </w:t>
      </w:r>
      <w:r w:rsidR="002824D0">
        <w:rPr>
          <w:rFonts w:ascii="Arial" w:hAnsi="Arial" w:cs="Arial"/>
          <w:sz w:val="20"/>
          <w:szCs w:val="20"/>
        </w:rPr>
        <w:t xml:space="preserve">okresów </w:t>
      </w:r>
      <w:r w:rsidRPr="00BB0EB6">
        <w:rPr>
          <w:rFonts w:ascii="Arial" w:hAnsi="Arial" w:cs="Arial"/>
          <w:sz w:val="20"/>
          <w:szCs w:val="20"/>
        </w:rPr>
        <w:t xml:space="preserve">oczekiwania). W miarę rozwoju programy IBDT mogą stanowić istotne uzupełnienie tradycyjnych form leczenia, oferując nowe sposoby interakcji z osobami uzależnionymi i potrzebującymi pomocy (zob. wideo). </w:t>
      </w:r>
    </w:p>
    <w:p w:rsidR="007C6AC6" w:rsidRPr="00BB0EB6" w:rsidRDefault="006F6AC2" w:rsidP="007C6AC6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Dziś</w:t>
      </w:r>
      <w:r w:rsidR="007C6AC6" w:rsidRPr="00BB0EB6">
        <w:rPr>
          <w:rFonts w:ascii="Arial" w:hAnsi="Arial" w:cs="Arial"/>
          <w:b/>
          <w:bCs/>
          <w:sz w:val="20"/>
          <w:szCs w:val="20"/>
        </w:rPr>
        <w:t xml:space="preserve"> opublikowano wyniki największego badania stężenia narkotyków w ściekach</w:t>
      </w:r>
      <w:r w:rsidR="007C6AC6" w:rsidRPr="00BB0EB6">
        <w:rPr>
          <w:rFonts w:ascii="Arial" w:hAnsi="Arial" w:cs="Arial"/>
          <w:sz w:val="20"/>
          <w:szCs w:val="20"/>
        </w:rPr>
        <w:t xml:space="preserve"> </w:t>
      </w:r>
    </w:p>
    <w:p w:rsidR="007C6AC6" w:rsidRPr="00BB0EB6" w:rsidRDefault="007C6AC6" w:rsidP="007C6AC6">
      <w:pPr>
        <w:pStyle w:val="CommentText"/>
        <w:spacing w:after="0" w:line="260" w:lineRule="exact"/>
        <w:rPr>
          <w:rFonts w:ascii="Arial" w:hAnsi="Arial" w:cs="Arial"/>
          <w:lang w:val="pl-PL"/>
        </w:rPr>
      </w:pPr>
      <w:r w:rsidRPr="00BB0EB6">
        <w:rPr>
          <w:rFonts w:ascii="Arial" w:hAnsi="Arial" w:cs="Arial"/>
          <w:lang w:val="pl-PL"/>
        </w:rPr>
        <w:t xml:space="preserve">Dzisiaj opublikowano także wyniki największego europejskiego </w:t>
      </w:r>
      <w:r w:rsidR="00C02B24">
        <w:rPr>
          <w:rFonts w:ascii="Arial" w:hAnsi="Arial" w:cs="Arial"/>
          <w:lang w:val="pl-PL"/>
        </w:rPr>
        <w:t xml:space="preserve">projektu </w:t>
      </w:r>
      <w:r w:rsidRPr="00BB0EB6">
        <w:rPr>
          <w:rFonts w:ascii="Arial" w:hAnsi="Arial" w:cs="Arial"/>
          <w:lang w:val="pl-PL"/>
        </w:rPr>
        <w:t>bada</w:t>
      </w:r>
      <w:r w:rsidR="00C02B24">
        <w:rPr>
          <w:rFonts w:ascii="Arial" w:hAnsi="Arial" w:cs="Arial"/>
          <w:lang w:val="pl-PL"/>
        </w:rPr>
        <w:t>wczego</w:t>
      </w:r>
      <w:r w:rsidRPr="00BB0EB6">
        <w:rPr>
          <w:rFonts w:ascii="Arial" w:hAnsi="Arial" w:cs="Arial"/>
          <w:lang w:val="pl-PL"/>
        </w:rPr>
        <w:t xml:space="preserve"> dotyczącego rozwijającej się dziedziny analizy ścieków. W ramach </w:t>
      </w:r>
      <w:r w:rsidR="00C02B24">
        <w:rPr>
          <w:rFonts w:ascii="Arial" w:hAnsi="Arial" w:cs="Arial"/>
          <w:lang w:val="pl-PL"/>
        </w:rPr>
        <w:t>projektu</w:t>
      </w:r>
      <w:r w:rsidRPr="00BB0EB6">
        <w:rPr>
          <w:rFonts w:ascii="Arial" w:hAnsi="Arial" w:cs="Arial"/>
          <w:lang w:val="pl-PL"/>
        </w:rPr>
        <w:t xml:space="preserve"> przeanalizowano ścieki z ponad 40 miast w 21 krajach, </w:t>
      </w:r>
      <w:r w:rsidR="00C02B24">
        <w:rPr>
          <w:rFonts w:ascii="Arial" w:hAnsi="Arial" w:cs="Arial"/>
          <w:lang w:val="pl-PL"/>
        </w:rPr>
        <w:t>w celu zbadania</w:t>
      </w:r>
      <w:r w:rsidRPr="00BB0EB6">
        <w:rPr>
          <w:rFonts w:ascii="Arial" w:hAnsi="Arial" w:cs="Arial"/>
          <w:lang w:val="pl-PL"/>
        </w:rPr>
        <w:t xml:space="preserve"> wzor</w:t>
      </w:r>
      <w:r w:rsidR="00C02B24">
        <w:rPr>
          <w:rFonts w:ascii="Arial" w:hAnsi="Arial" w:cs="Arial"/>
          <w:lang w:val="pl-PL"/>
        </w:rPr>
        <w:t>ów</w:t>
      </w:r>
      <w:r w:rsidRPr="00BB0EB6">
        <w:rPr>
          <w:rFonts w:ascii="Arial" w:hAnsi="Arial" w:cs="Arial"/>
          <w:lang w:val="pl-PL"/>
        </w:rPr>
        <w:t xml:space="preserve"> używania narkotyków wśród ich mieszkańców. Wnioski z badania znajdują się w prognozie POD poświęconej temu tematowi. Ścieki generowane przez około 8 milionów ludzi zbadano pod kątem śladów pięciu narkotyków: amfetaminy, konopi indyjskich, kokainy, ecstasy i metamfetaminy (komunikat prasowy 5/2014).</w:t>
      </w:r>
    </w:p>
    <w:p w:rsidR="007C6AC6" w:rsidRPr="00BB0EB6" w:rsidRDefault="007C6AC6" w:rsidP="00ED781C">
      <w:pPr>
        <w:pStyle w:val="newsContent"/>
      </w:pPr>
    </w:p>
    <w:p w:rsidR="007C6AC6" w:rsidRPr="00BB0EB6" w:rsidRDefault="007C6AC6" w:rsidP="00ED781C">
      <w:pPr>
        <w:pStyle w:val="newsContent"/>
      </w:pPr>
      <w:r w:rsidRPr="00BB0EB6">
        <w:t xml:space="preserve">Wyniki stanowią cenny obraz przepływu narkotyków przez badane miasta, ujawniając istotne różnice regionalne we wzorach używania narkotyków. Na przykład stężenie kokainy jest większe w miastach Europy Zachodniej i niektórych miastach Europy Południowej, ale mniejsze w miastach Europy Północnej i Wschodniej. Amfetamina jest rozpowszechniona dość równomiernie, ale największy poziom odnotowano w Europie Północnej i Północno-Zachodniej. Metamfetamina, której poziom jest zasadniczo niski i tradycyjnie największy w Europie Środkowej, </w:t>
      </w:r>
      <w:r w:rsidR="00B73680">
        <w:t xml:space="preserve">obecnie </w:t>
      </w:r>
      <w:r w:rsidRPr="00BB0EB6">
        <w:t>wydaje się rozpowszechniać. Zbadano również tygodniowe wzor</w:t>
      </w:r>
      <w:r w:rsidR="00CA1B7E">
        <w:t>y</w:t>
      </w:r>
      <w:r w:rsidRPr="00BB0EB6">
        <w:t xml:space="preserve"> używania narkotyków: poziomy kokainy i ecstasy w większości miast wzrastały gwałtownie podczas weekendów, podczas gdy poziom metamfetaminy i konopi indyjskich pozostawał bardziej zrównoważony przez cały tydzień.</w:t>
      </w:r>
    </w:p>
    <w:p w:rsidR="007C6AC6" w:rsidRPr="00BB0EB6" w:rsidRDefault="007C6AC6" w:rsidP="007C6AC6">
      <w:pPr>
        <w:spacing w:before="100" w:beforeAutospacing="1"/>
        <w:rPr>
          <w:sz w:val="20"/>
          <w:szCs w:val="20"/>
        </w:rPr>
      </w:pPr>
      <w:r w:rsidRPr="00BB0EB6">
        <w:rPr>
          <w:rFonts w:ascii="Arial" w:hAnsi="Arial" w:cs="Arial"/>
          <w:b/>
          <w:bCs/>
          <w:sz w:val="20"/>
          <w:szCs w:val="20"/>
        </w:rPr>
        <w:t>Przewodniczący zarządu EMCDDA João Goulão</w:t>
      </w:r>
      <w:r w:rsidRPr="00BB0EB6">
        <w:rPr>
          <w:rFonts w:ascii="Arial" w:hAnsi="Arial" w:cs="Arial"/>
          <w:sz w:val="20"/>
          <w:szCs w:val="20"/>
        </w:rPr>
        <w:t xml:space="preserve"> mówi: „W tym roku EMCDDA zwraca uwagę na nowe wyzwania związane z substancjami pobudzającymi i innymi narkotykami. W szczególności Agencja analizuje nowe dane na temat możliwości leczenia problemów związanych z używaniem kokainy, metamfetaminy i konopi indyjskich. Wspólnym elementem jest tu znaczenie interwencji psychospołecznych, które stanowią jedno z wielu cennych narzędzi terapeutycznych służących do reagowania na współczesne problemy narkotykowe”</w:t>
      </w:r>
      <w:r w:rsidR="00BA266A">
        <w:rPr>
          <w:rFonts w:ascii="Arial" w:hAnsi="Arial" w:cs="Arial"/>
          <w:sz w:val="20"/>
          <w:szCs w:val="20"/>
        </w:rPr>
        <w:t>.</w:t>
      </w:r>
      <w:r w:rsidRPr="00BB0EB6">
        <w:rPr>
          <w:rFonts w:ascii="Arial" w:hAnsi="Arial" w:cs="Arial"/>
          <w:sz w:val="20"/>
          <w:szCs w:val="20"/>
        </w:rPr>
        <w:t xml:space="preserve"> </w:t>
      </w:r>
    </w:p>
    <w:p w:rsidR="00CB49DA" w:rsidRPr="00BB0EB6" w:rsidRDefault="00CB49DA" w:rsidP="00ED781C">
      <w:pPr>
        <w:pStyle w:val="newsContent"/>
      </w:pPr>
    </w:p>
    <w:sectPr w:rsidR="00CB49DA" w:rsidRPr="00BB0EB6" w:rsidSect="00E02B44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97" w:rsidRDefault="009F4C97" w:rsidP="009A28FB">
      <w:pPr>
        <w:spacing w:after="0" w:line="240" w:lineRule="auto"/>
      </w:pPr>
      <w:r>
        <w:separator/>
      </w:r>
    </w:p>
  </w:endnote>
  <w:endnote w:type="continuationSeparator" w:id="0">
    <w:p w:rsidR="009F4C97" w:rsidRDefault="009F4C9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23" w:type="dxa"/>
      <w:tblInd w:w="-510" w:type="dxa"/>
      <w:tblBorders>
        <w:top w:val="none" w:sz="0" w:space="0" w:color="auto"/>
        <w:left w:val="single" w:sz="12" w:space="0" w:color="00009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418"/>
    </w:tblGrid>
    <w:tr w:rsidR="00BF1E3B" w:rsidTr="00205B79">
      <w:tc>
        <w:tcPr>
          <w:tcW w:w="8505" w:type="dxa"/>
        </w:tcPr>
        <w:p w:rsidR="00BF1E3B" w:rsidRPr="00205B79" w:rsidRDefault="00205B79" w:rsidP="00BF5CBE">
          <w:pPr>
            <w:pStyle w:val="newsCoordinates"/>
          </w:pPr>
          <w:r w:rsidRPr="00205B79">
            <w:rPr>
              <w:noProof/>
              <w:lang w:eastAsia="ja-JP"/>
            </w:rPr>
            <w:t xml:space="preserve">Perspectives on </w:t>
          </w:r>
          <w:r w:rsidRPr="00BF5CBE">
            <w:rPr>
              <w:noProof/>
              <w:lang w:eastAsia="ja-JP"/>
            </w:rPr>
            <w:t xml:space="preserve">drugs </w:t>
          </w:r>
          <w:r w:rsidR="00BF5CBE" w:rsidRPr="00BF5CBE">
            <w:rPr>
              <w:noProof/>
              <w:lang w:eastAsia="ja-JP"/>
            </w:rPr>
            <w:t>(POD)</w:t>
          </w:r>
          <w:r w:rsidRPr="00BF5CBE">
            <w:rPr>
              <w:noProof/>
              <w:lang w:eastAsia="ja-JP"/>
            </w:rPr>
            <w:t xml:space="preserve"> —</w:t>
          </w:r>
          <w:r w:rsidRPr="00205B79">
            <w:rPr>
              <w:noProof/>
              <w:lang w:eastAsia="ja-JP"/>
            </w:rPr>
            <w:t xml:space="preserve"> dokument dostępny w języku angielskim na stronie www.emcdda.europa.eu/edr2014</w:t>
          </w:r>
        </w:p>
      </w:tc>
      <w:tc>
        <w:tcPr>
          <w:tcW w:w="1418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E02B44" w:rsidRDefault="00670BC4" w:rsidP="003B00EE">
          <w:pPr>
            <w:pStyle w:val="newsCoordinates"/>
          </w:pPr>
          <w:r w:rsidRPr="00670BC4">
            <w:t>Kontakt: Kathy Robertson, współpraca z mediami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440A6FD" wp14:editId="1F5318F2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Pr="00ED781C" w:rsidRDefault="00670BC4" w:rsidP="003B00EE">
          <w:pPr>
            <w:pStyle w:val="newsCoordinates"/>
            <w:rPr>
              <w:lang w:val="pt-PT"/>
            </w:rPr>
          </w:pPr>
          <w:r w:rsidRPr="00ED781C">
            <w:rPr>
              <w:lang w:val="pt-PT"/>
            </w:rPr>
            <w:t>Praça Europa 1, Cais do Sodré, 1249-289 Lizbona, Portugalia</w:t>
          </w:r>
        </w:p>
        <w:p w:rsidR="0063677C" w:rsidRPr="00E02B44" w:rsidRDefault="00670BC4" w:rsidP="00670BC4">
          <w:pPr>
            <w:pStyle w:val="newsCoordinates"/>
            <w:rPr>
              <w:lang w:val="pt-PT"/>
            </w:rPr>
          </w:pPr>
          <w:r w:rsidRPr="00E02B44">
            <w:rPr>
              <w:lang w:val="pt-PT"/>
            </w:rPr>
            <w:t>Tel. (351) 211 21 02</w:t>
          </w:r>
          <w:r w:rsidR="00944227" w:rsidRPr="00E02B44">
            <w:rPr>
              <w:lang w:val="pt-PT"/>
            </w:rPr>
            <w:t xml:space="preserve"> 00</w:t>
          </w:r>
          <w:r w:rsidR="0063677C" w:rsidRPr="00E02B44">
            <w:rPr>
              <w:lang w:val="pt-PT"/>
            </w:rPr>
            <w:t xml:space="preserve"> </w:t>
          </w:r>
          <w:r w:rsidR="0063677C" w:rsidRPr="00E02B44">
            <w:rPr>
              <w:sz w:val="18"/>
              <w:lang w:val="pt-PT"/>
            </w:rPr>
            <w:t xml:space="preserve">I </w:t>
          </w:r>
          <w:r w:rsidR="0063677C" w:rsidRPr="00E02B44">
            <w:rPr>
              <w:lang w:val="pt-PT"/>
            </w:rPr>
            <w:t xml:space="preserve">press@emcdda.europa.eu </w:t>
          </w:r>
          <w:r w:rsidR="0063677C" w:rsidRPr="00E02B44">
            <w:rPr>
              <w:sz w:val="18"/>
              <w:lang w:val="pt-PT"/>
            </w:rPr>
            <w:t>I</w:t>
          </w:r>
          <w:r w:rsidR="0063677C" w:rsidRPr="00E02B44">
            <w:rPr>
              <w:lang w:val="pt-PT"/>
            </w:rP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70BC4" w:rsidP="007C6AC6">
          <w:pPr>
            <w:pStyle w:val="newsReference"/>
            <w:jc w:val="right"/>
          </w:pPr>
          <w:r w:rsidRPr="00670BC4">
            <w:t xml:space="preserve">PL — Nr </w:t>
          </w:r>
          <w:r w:rsidR="007C6AC6">
            <w:t>4</w:t>
          </w:r>
          <w:r w:rsidRPr="00670BC4">
            <w:t>/</w:t>
          </w:r>
          <w:r w:rsidR="007C6AC6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97" w:rsidRDefault="009F4C97" w:rsidP="009A28FB">
      <w:pPr>
        <w:spacing w:after="0" w:line="240" w:lineRule="auto"/>
      </w:pPr>
      <w:r>
        <w:separator/>
      </w:r>
    </w:p>
  </w:footnote>
  <w:footnote w:type="continuationSeparator" w:id="0">
    <w:p w:rsidR="009F4C97" w:rsidRDefault="009F4C9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single" w:sz="18" w:space="0" w:color="0000CC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ED781C">
      <w:tc>
        <w:tcPr>
          <w:tcW w:w="7196" w:type="dxa"/>
        </w:tcPr>
        <w:p w:rsidR="00BF1E3B" w:rsidRPr="007C6AC6" w:rsidRDefault="007C6AC6" w:rsidP="00CC4FDA">
          <w:pPr>
            <w:pStyle w:val="newsEmbargo"/>
          </w:pPr>
          <w:r w:rsidRPr="007C6AC6">
            <w:rPr>
              <w:noProof/>
              <w:lang w:eastAsia="pl-PL"/>
            </w:rPr>
            <w:t xml:space="preserve">Prognozy dotyczące sytuacji narkotykowej </w:t>
          </w:r>
          <w:r w:rsidR="00BF1E3B" w:rsidRPr="007C6AC6">
            <w:rPr>
              <w:noProof/>
              <w:sz w:val="18"/>
              <w:lang w:eastAsia="en-GB"/>
            </w:rPr>
            <w:t>I</w:t>
          </w:r>
          <w:r w:rsidR="00BF1E3B" w:rsidRPr="007C6AC6">
            <w:rPr>
              <w:noProof/>
              <w:lang w:eastAsia="en-GB"/>
            </w:rPr>
            <w:t xml:space="preserve"> </w:t>
          </w:r>
          <w:r w:rsidR="00BF1E3B" w:rsidRPr="00E02B44">
            <w:rPr>
              <w:b/>
              <w:noProof/>
              <w:color w:val="FF0000"/>
              <w:lang w:eastAsia="en-GB"/>
            </w:rPr>
            <w:t xml:space="preserve">EMBARGO </w:t>
          </w:r>
          <w:r w:rsidRPr="00E02B44">
            <w:rPr>
              <w:b/>
              <w:noProof/>
              <w:color w:val="FF0000"/>
              <w:lang w:eastAsia="en-GB"/>
            </w:rPr>
            <w:t xml:space="preserve">godz. </w:t>
          </w:r>
          <w:r w:rsidR="00BF1E3B" w:rsidRPr="00E02B44">
            <w:rPr>
              <w:b/>
              <w:noProof/>
              <w:color w:val="FF0000"/>
              <w:lang w:eastAsia="en-GB"/>
            </w:rPr>
            <w:t xml:space="preserve">10:00 </w:t>
          </w:r>
          <w:r w:rsidRPr="00E02B44">
            <w:rPr>
              <w:b/>
              <w:noProof/>
              <w:color w:val="FF0000"/>
              <w:lang w:eastAsia="en-GB"/>
            </w:rPr>
            <w:t>czasu środkowoeuropejskiego</w:t>
          </w:r>
        </w:p>
      </w:tc>
      <w:tc>
        <w:tcPr>
          <w:tcW w:w="3294" w:type="dxa"/>
          <w:vAlign w:val="bottom"/>
        </w:tcPr>
        <w:p w:rsidR="00BF1E3B" w:rsidRDefault="007C6AC6" w:rsidP="007C6AC6">
          <w:pPr>
            <w:pStyle w:val="newsReference"/>
            <w:jc w:val="right"/>
          </w:pPr>
          <w:r>
            <w:t>27</w:t>
          </w:r>
          <w:r w:rsidR="00BF1E3B" w:rsidRPr="00CC4FDA">
            <w:t>.</w:t>
          </w:r>
          <w:r>
            <w:t>5</w:t>
          </w:r>
          <w:r w:rsidR="00BF1E3B" w:rsidRPr="00CC4FDA">
            <w:t>.201</w:t>
          </w:r>
          <w:r>
            <w:t>4</w:t>
          </w:r>
        </w:p>
      </w:tc>
    </w:tr>
  </w:tbl>
  <w:p w:rsidR="00BF1E3B" w:rsidRDefault="00BF1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C6"/>
    <w:rsid w:val="00014E8E"/>
    <w:rsid w:val="00025C96"/>
    <w:rsid w:val="00036DAA"/>
    <w:rsid w:val="00042EDA"/>
    <w:rsid w:val="000535B7"/>
    <w:rsid w:val="000652C4"/>
    <w:rsid w:val="00067DD3"/>
    <w:rsid w:val="00075735"/>
    <w:rsid w:val="000A20DF"/>
    <w:rsid w:val="000C6200"/>
    <w:rsid w:val="000D25B6"/>
    <w:rsid w:val="00105BFC"/>
    <w:rsid w:val="00107C96"/>
    <w:rsid w:val="001324BA"/>
    <w:rsid w:val="0014655B"/>
    <w:rsid w:val="0017713E"/>
    <w:rsid w:val="001800D0"/>
    <w:rsid w:val="001A3338"/>
    <w:rsid w:val="001C795A"/>
    <w:rsid w:val="001D5C26"/>
    <w:rsid w:val="001E39A7"/>
    <w:rsid w:val="001F70B4"/>
    <w:rsid w:val="00205B79"/>
    <w:rsid w:val="00223753"/>
    <w:rsid w:val="002557B0"/>
    <w:rsid w:val="00257D07"/>
    <w:rsid w:val="002646E4"/>
    <w:rsid w:val="0027252D"/>
    <w:rsid w:val="0028141E"/>
    <w:rsid w:val="002824D0"/>
    <w:rsid w:val="002948E2"/>
    <w:rsid w:val="002A52CE"/>
    <w:rsid w:val="002A61F7"/>
    <w:rsid w:val="002B05CE"/>
    <w:rsid w:val="002B45AC"/>
    <w:rsid w:val="002D2E71"/>
    <w:rsid w:val="00301DA6"/>
    <w:rsid w:val="0030486D"/>
    <w:rsid w:val="00317B5A"/>
    <w:rsid w:val="0033158E"/>
    <w:rsid w:val="00351881"/>
    <w:rsid w:val="0036121D"/>
    <w:rsid w:val="00387D02"/>
    <w:rsid w:val="0039222B"/>
    <w:rsid w:val="00393B54"/>
    <w:rsid w:val="003B41B1"/>
    <w:rsid w:val="003C0395"/>
    <w:rsid w:val="003D0487"/>
    <w:rsid w:val="003F213F"/>
    <w:rsid w:val="004137B0"/>
    <w:rsid w:val="00416193"/>
    <w:rsid w:val="004221D3"/>
    <w:rsid w:val="0044111C"/>
    <w:rsid w:val="00445080"/>
    <w:rsid w:val="0045468D"/>
    <w:rsid w:val="0046179A"/>
    <w:rsid w:val="00474AC8"/>
    <w:rsid w:val="004847FB"/>
    <w:rsid w:val="0048683F"/>
    <w:rsid w:val="00491A31"/>
    <w:rsid w:val="00492C1D"/>
    <w:rsid w:val="004C3028"/>
    <w:rsid w:val="004D6E0C"/>
    <w:rsid w:val="00520EF1"/>
    <w:rsid w:val="0052685A"/>
    <w:rsid w:val="00541A97"/>
    <w:rsid w:val="00542CEE"/>
    <w:rsid w:val="005533CB"/>
    <w:rsid w:val="00571FEA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4329F"/>
    <w:rsid w:val="006568FE"/>
    <w:rsid w:val="00666A63"/>
    <w:rsid w:val="00670BC4"/>
    <w:rsid w:val="00677787"/>
    <w:rsid w:val="0069096E"/>
    <w:rsid w:val="00691737"/>
    <w:rsid w:val="006C70A0"/>
    <w:rsid w:val="006F6AC2"/>
    <w:rsid w:val="007003A8"/>
    <w:rsid w:val="00730132"/>
    <w:rsid w:val="007324D6"/>
    <w:rsid w:val="00747332"/>
    <w:rsid w:val="00747A82"/>
    <w:rsid w:val="00773814"/>
    <w:rsid w:val="00791F09"/>
    <w:rsid w:val="007920E3"/>
    <w:rsid w:val="007927D2"/>
    <w:rsid w:val="007B0E03"/>
    <w:rsid w:val="007B1CCD"/>
    <w:rsid w:val="007C5E0E"/>
    <w:rsid w:val="007C6AC6"/>
    <w:rsid w:val="00813FB5"/>
    <w:rsid w:val="0081623D"/>
    <w:rsid w:val="00826CFF"/>
    <w:rsid w:val="00837F8F"/>
    <w:rsid w:val="00840D4C"/>
    <w:rsid w:val="00841E86"/>
    <w:rsid w:val="00860C28"/>
    <w:rsid w:val="00875018"/>
    <w:rsid w:val="00881730"/>
    <w:rsid w:val="008C1172"/>
    <w:rsid w:val="008D54B3"/>
    <w:rsid w:val="008F177B"/>
    <w:rsid w:val="008F399E"/>
    <w:rsid w:val="00902300"/>
    <w:rsid w:val="00930F8E"/>
    <w:rsid w:val="00944227"/>
    <w:rsid w:val="00955F0C"/>
    <w:rsid w:val="00974A27"/>
    <w:rsid w:val="00980658"/>
    <w:rsid w:val="009A25F8"/>
    <w:rsid w:val="009A28FB"/>
    <w:rsid w:val="009B6F72"/>
    <w:rsid w:val="009D6255"/>
    <w:rsid w:val="009E25FB"/>
    <w:rsid w:val="009E59C3"/>
    <w:rsid w:val="009F4C97"/>
    <w:rsid w:val="00A03329"/>
    <w:rsid w:val="00A0788A"/>
    <w:rsid w:val="00A27289"/>
    <w:rsid w:val="00A311EF"/>
    <w:rsid w:val="00A3254D"/>
    <w:rsid w:val="00A661E2"/>
    <w:rsid w:val="00A843D2"/>
    <w:rsid w:val="00A856B7"/>
    <w:rsid w:val="00A942B2"/>
    <w:rsid w:val="00AA715B"/>
    <w:rsid w:val="00AD7BFC"/>
    <w:rsid w:val="00AE093C"/>
    <w:rsid w:val="00AE1738"/>
    <w:rsid w:val="00AF0460"/>
    <w:rsid w:val="00AF13B3"/>
    <w:rsid w:val="00AF259D"/>
    <w:rsid w:val="00B11B73"/>
    <w:rsid w:val="00B22439"/>
    <w:rsid w:val="00B272F1"/>
    <w:rsid w:val="00B51E08"/>
    <w:rsid w:val="00B57464"/>
    <w:rsid w:val="00B61036"/>
    <w:rsid w:val="00B67A97"/>
    <w:rsid w:val="00B72DD3"/>
    <w:rsid w:val="00B7335C"/>
    <w:rsid w:val="00B73680"/>
    <w:rsid w:val="00B97BC5"/>
    <w:rsid w:val="00BA266A"/>
    <w:rsid w:val="00BB0EB6"/>
    <w:rsid w:val="00BB60CF"/>
    <w:rsid w:val="00BF1E3B"/>
    <w:rsid w:val="00BF5CBE"/>
    <w:rsid w:val="00C02B24"/>
    <w:rsid w:val="00C36BC1"/>
    <w:rsid w:val="00C426F8"/>
    <w:rsid w:val="00C628C4"/>
    <w:rsid w:val="00C63254"/>
    <w:rsid w:val="00C819E5"/>
    <w:rsid w:val="00C874C0"/>
    <w:rsid w:val="00CA1B7E"/>
    <w:rsid w:val="00CA2FF5"/>
    <w:rsid w:val="00CB49DA"/>
    <w:rsid w:val="00CC4FDA"/>
    <w:rsid w:val="00CC6A8B"/>
    <w:rsid w:val="00CF1D2A"/>
    <w:rsid w:val="00D01335"/>
    <w:rsid w:val="00D03EC6"/>
    <w:rsid w:val="00D3312B"/>
    <w:rsid w:val="00D37865"/>
    <w:rsid w:val="00D57367"/>
    <w:rsid w:val="00D8065D"/>
    <w:rsid w:val="00D84AE3"/>
    <w:rsid w:val="00D92A34"/>
    <w:rsid w:val="00DC485E"/>
    <w:rsid w:val="00DF39B6"/>
    <w:rsid w:val="00E02B44"/>
    <w:rsid w:val="00E233F5"/>
    <w:rsid w:val="00E57A1C"/>
    <w:rsid w:val="00E57C9D"/>
    <w:rsid w:val="00E66CCD"/>
    <w:rsid w:val="00E76AD8"/>
    <w:rsid w:val="00E81F3D"/>
    <w:rsid w:val="00E83FC3"/>
    <w:rsid w:val="00E84EB5"/>
    <w:rsid w:val="00E85AEC"/>
    <w:rsid w:val="00ED781C"/>
    <w:rsid w:val="00EE23CC"/>
    <w:rsid w:val="00F06CDE"/>
    <w:rsid w:val="00F21CA9"/>
    <w:rsid w:val="00F24096"/>
    <w:rsid w:val="00F249CD"/>
    <w:rsid w:val="00F414EF"/>
    <w:rsid w:val="00F47542"/>
    <w:rsid w:val="00FB351B"/>
    <w:rsid w:val="00FC0187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A25F8"/>
    <w:pPr>
      <w:tabs>
        <w:tab w:val="left" w:pos="5205"/>
      </w:tabs>
      <w:spacing w:before="360" w:after="112" w:line="300" w:lineRule="exact"/>
    </w:pPr>
    <w:rPr>
      <w:rFonts w:ascii="Arial" w:hAnsi="Arial" w:cs="Arial"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E57A1C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ED781C"/>
    <w:pPr>
      <w:spacing w:after="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70BC4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70BC4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70BC4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70BC4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ED781C"/>
    <w:rPr>
      <w:rFonts w:ascii="Arial" w:hAnsi="Arial"/>
      <w:color w:val="000000" w:themeColor="text1"/>
      <w:sz w:val="20"/>
      <w:lang w:val="pl-PL"/>
    </w:rPr>
  </w:style>
  <w:style w:type="character" w:customStyle="1" w:styleId="newsNotesChar">
    <w:name w:val="newsNotes Char"/>
    <w:basedOn w:val="newsContentChar"/>
    <w:link w:val="newsNotes"/>
    <w:rsid w:val="00670BC4"/>
    <w:rPr>
      <w:rFonts w:ascii="Arial" w:hAnsi="Arial"/>
      <w:color w:val="000000" w:themeColor="text1"/>
      <w:sz w:val="17"/>
      <w:lang w:val="pl-PL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l-PL"/>
    </w:rPr>
  </w:style>
  <w:style w:type="paragraph" w:styleId="CommentText">
    <w:name w:val="annotation text"/>
    <w:basedOn w:val="Normal"/>
    <w:link w:val="CommentTextChar"/>
    <w:uiPriority w:val="99"/>
    <w:unhideWhenUsed/>
    <w:rsid w:val="007C6AC6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A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A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A1C"/>
    <w:rPr>
      <w:b/>
      <w:bCs/>
      <w:lang w:val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A1C"/>
    <w:rPr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A25F8"/>
    <w:pPr>
      <w:tabs>
        <w:tab w:val="left" w:pos="5205"/>
      </w:tabs>
      <w:spacing w:before="360" w:after="112" w:line="300" w:lineRule="exact"/>
    </w:pPr>
    <w:rPr>
      <w:rFonts w:ascii="Arial" w:hAnsi="Arial" w:cs="Arial"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E57A1C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ED781C"/>
    <w:pPr>
      <w:spacing w:after="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70BC4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70BC4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70BC4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70BC4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ED781C"/>
    <w:rPr>
      <w:rFonts w:ascii="Arial" w:hAnsi="Arial"/>
      <w:color w:val="000000" w:themeColor="text1"/>
      <w:sz w:val="20"/>
      <w:lang w:val="pl-PL"/>
    </w:rPr>
  </w:style>
  <w:style w:type="character" w:customStyle="1" w:styleId="newsNotesChar">
    <w:name w:val="newsNotes Char"/>
    <w:basedOn w:val="newsContentChar"/>
    <w:link w:val="newsNotes"/>
    <w:rsid w:val="00670BC4"/>
    <w:rPr>
      <w:rFonts w:ascii="Arial" w:hAnsi="Arial"/>
      <w:color w:val="000000" w:themeColor="text1"/>
      <w:sz w:val="17"/>
      <w:lang w:val="pl-PL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l-PL"/>
    </w:rPr>
  </w:style>
  <w:style w:type="paragraph" w:styleId="CommentText">
    <w:name w:val="annotation text"/>
    <w:basedOn w:val="Normal"/>
    <w:link w:val="CommentTextChar"/>
    <w:uiPriority w:val="99"/>
    <w:unhideWhenUsed/>
    <w:rsid w:val="007C6AC6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A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A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A1C"/>
    <w:rPr>
      <w:b/>
      <w:bCs/>
      <w:lang w:val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A1C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news-release-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AFBC-75B7-4720-A848-DC42EA22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news-release-PL</Template>
  <TotalTime>20</TotalTime>
  <Pages>3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News release PL</vt:lpstr>
      <vt:lpstr>News release PL</vt:lpstr>
    </vt:vector>
  </TitlesOfParts>
  <Manager>EMCDDA</Manager>
  <Company>Translation Centre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PL</dc:title>
  <dc:subject>News release PL</dc:subject>
  <dc:creator>Translation Centre</dc:creator>
  <cp:lastModifiedBy>Kathryn Robertson</cp:lastModifiedBy>
  <cp:revision>6</cp:revision>
  <cp:lastPrinted>2014-04-04T12:51:00Z</cp:lastPrinted>
  <dcterms:created xsi:type="dcterms:W3CDTF">2014-05-23T08:51:00Z</dcterms:created>
  <dcterms:modified xsi:type="dcterms:W3CDTF">2014-05-23T09:48:00Z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PL</vt:lpwstr>
  </property>
</Properties>
</file>