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70" w:rightFromText="170" w:vertAnchor="page" w:horzAnchor="page" w:tblpX="738" w:tblpY="738"/>
        <w:tblW w:w="5615" w:type="pct"/>
        <w:tblLayout w:type="fixed"/>
        <w:tblCellMar>
          <w:left w:w="142" w:type="dxa"/>
          <w:right w:w="0" w:type="dxa"/>
        </w:tblCellMar>
        <w:tblLook w:val="0680" w:firstRow="0" w:lastRow="0" w:firstColumn="1" w:lastColumn="0" w:noHBand="1" w:noVBand="1"/>
      </w:tblPr>
      <w:tblGrid>
        <w:gridCol w:w="4972"/>
        <w:gridCol w:w="5692"/>
      </w:tblGrid>
      <w:tr w:rsidR="00EE23CC" w:rsidRPr="00107483">
        <w:trPr>
          <w:trHeight w:val="1695"/>
        </w:trPr>
        <w:tc>
          <w:tcPr>
            <w:tcW w:w="2331" w:type="pct"/>
            <w:shd w:val="clear" w:color="auto" w:fill="auto"/>
          </w:tcPr>
          <w:p w:rsidR="00EE23CC" w:rsidRPr="00107483" w:rsidRDefault="007C6370" w:rsidP="00107483">
            <w:pPr>
              <w:spacing w:after="0" w:line="240" w:lineRule="auto"/>
            </w:pPr>
            <w:r w:rsidRPr="00107483">
              <w:rPr>
                <w:noProof/>
                <w:lang w:val="en-GB" w:eastAsia="en-GB"/>
              </w:rPr>
              <w:drawing>
                <wp:inline distT="0" distB="0" distL="0" distR="0" wp14:anchorId="26D1C6C9" wp14:editId="58C3E0A3">
                  <wp:extent cx="2644140" cy="617220"/>
                  <wp:effectExtent l="0" t="0" r="0" b="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4140" cy="617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69" w:type="pct"/>
            <w:shd w:val="clear" w:color="auto" w:fill="auto"/>
          </w:tcPr>
          <w:p w:rsidR="00EE23CC" w:rsidRPr="00107483" w:rsidRDefault="00EE23CC" w:rsidP="00107483">
            <w:pPr>
              <w:spacing w:after="0" w:line="240" w:lineRule="auto"/>
            </w:pPr>
          </w:p>
        </w:tc>
      </w:tr>
    </w:tbl>
    <w:p w:rsidR="00107483" w:rsidRPr="00107483" w:rsidRDefault="00107483" w:rsidP="00107483">
      <w:pPr>
        <w:spacing w:after="0"/>
        <w:rPr>
          <w:vanish/>
        </w:rPr>
      </w:pPr>
    </w:p>
    <w:tbl>
      <w:tblPr>
        <w:tblW w:w="12796" w:type="dxa"/>
        <w:tblInd w:w="-127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96"/>
      </w:tblGrid>
      <w:tr w:rsidR="00EE23CC" w:rsidRPr="00107483">
        <w:trPr>
          <w:trHeight w:val="1304"/>
        </w:trPr>
        <w:tc>
          <w:tcPr>
            <w:tcW w:w="12796" w:type="dxa"/>
            <w:shd w:val="clear" w:color="auto" w:fill="auto"/>
            <w:vAlign w:val="bottom"/>
          </w:tcPr>
          <w:p w:rsidR="00EE23CC" w:rsidRPr="00107483" w:rsidRDefault="007C6370" w:rsidP="00107483">
            <w:pPr>
              <w:spacing w:after="0" w:line="240" w:lineRule="auto"/>
            </w:pPr>
            <w:r w:rsidRPr="00107483">
              <w:rPr>
                <w:noProof/>
                <w:lang w:val="en-GB" w:eastAsia="en-GB"/>
              </w:rPr>
              <w:drawing>
                <wp:inline distT="0" distB="0" distL="0" distR="0" wp14:anchorId="6D8DC253" wp14:editId="7264E6AE">
                  <wp:extent cx="7559040" cy="922020"/>
                  <wp:effectExtent l="0" t="0" r="3810" b="0"/>
                  <wp:docPr id="2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9040" cy="922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501A4" w:rsidRPr="00B37E57" w:rsidRDefault="00A6132B" w:rsidP="001642DE">
      <w:pPr>
        <w:pStyle w:val="newsTitle"/>
      </w:pPr>
      <w:r w:rsidRPr="001642DE">
        <w:t xml:space="preserve">RAPORTUL EUROPEAN PRIVIND DROGURILE 2014 </w:t>
      </w:r>
      <w:r w:rsidR="002C5771" w:rsidRPr="001642DE">
        <w:t xml:space="preserve">– </w:t>
      </w:r>
      <w:r w:rsidRPr="001642DE">
        <w:t xml:space="preserve">PERSPECTIVE </w:t>
      </w:r>
      <w:r w:rsidR="001642DE" w:rsidRPr="00B37E57">
        <w:t>privind</w:t>
      </w:r>
      <w:r w:rsidRPr="00B37E57">
        <w:t xml:space="preserve"> DROGURI</w:t>
      </w:r>
      <w:r w:rsidR="001642DE" w:rsidRPr="00B37E57">
        <w:t>LE</w:t>
      </w:r>
    </w:p>
    <w:p w:rsidR="00C501A4" w:rsidRPr="00B37E57" w:rsidRDefault="00A6132B" w:rsidP="001642DE">
      <w:pPr>
        <w:pStyle w:val="newsSubTitle"/>
      </w:pPr>
      <w:r w:rsidRPr="00B37E57">
        <w:t>Agenţia UE pentru droguri aduce în atenţie şase teme prin noi analize online</w:t>
      </w:r>
    </w:p>
    <w:p w:rsidR="00C501A4" w:rsidRPr="00330B5B" w:rsidRDefault="00A6132B" w:rsidP="00865406">
      <w:pPr>
        <w:pStyle w:val="newsContent"/>
      </w:pPr>
      <w:r w:rsidRPr="00B37E57">
        <w:t xml:space="preserve">(27.5.2014, LISABONA </w:t>
      </w:r>
      <w:r w:rsidR="001642DE" w:rsidRPr="00B37E57">
        <w:rPr>
          <w:b/>
          <w:color w:val="FF0000"/>
        </w:rPr>
        <w:t>EMBARGO 10:00 WET/ora Lisabonei</w:t>
      </w:r>
      <w:r w:rsidR="001642DE" w:rsidRPr="00B37E57">
        <w:t>)</w:t>
      </w:r>
      <w:r w:rsidRPr="00B37E57">
        <w:t xml:space="preserve"> </w:t>
      </w:r>
      <w:r w:rsidRPr="00B37E57">
        <w:rPr>
          <w:b/>
        </w:rPr>
        <w:t>Agenţia UE pentru droguri (EMCDDA)</w:t>
      </w:r>
      <w:r w:rsidR="00B638A0" w:rsidRPr="00B37E57">
        <w:rPr>
          <w:b/>
        </w:rPr>
        <w:t xml:space="preserve"> </w:t>
      </w:r>
      <w:r w:rsidRPr="00B37E57">
        <w:t xml:space="preserve">publică astăzi, împreună cu </w:t>
      </w:r>
      <w:r w:rsidRPr="00B37E57">
        <w:rPr>
          <w:b/>
          <w:i/>
        </w:rPr>
        <w:t>Raportul european privind drogurile 2014: Tendinţe şi evoluţii</w:t>
      </w:r>
      <w:r w:rsidRPr="00B37E57">
        <w:t xml:space="preserve">, şase noi analize din seria sa </w:t>
      </w:r>
      <w:r w:rsidRPr="00B37E57">
        <w:rPr>
          <w:b/>
        </w:rPr>
        <w:t xml:space="preserve">Perspective </w:t>
      </w:r>
      <w:r w:rsidR="001642DE" w:rsidRPr="00B37E57">
        <w:rPr>
          <w:b/>
        </w:rPr>
        <w:t>privind</w:t>
      </w:r>
      <w:r w:rsidRPr="00B37E57">
        <w:rPr>
          <w:b/>
        </w:rPr>
        <w:t xml:space="preserve"> droguri</w:t>
      </w:r>
      <w:r w:rsidR="001642DE" w:rsidRPr="00B37E57">
        <w:rPr>
          <w:b/>
        </w:rPr>
        <w:t>le</w:t>
      </w:r>
      <w:r w:rsidRPr="00B37E57">
        <w:rPr>
          <w:b/>
        </w:rPr>
        <w:t xml:space="preserve"> </w:t>
      </w:r>
      <w:r w:rsidRPr="00B37E57">
        <w:t>(</w:t>
      </w:r>
      <w:r w:rsidRPr="00B37E57">
        <w:rPr>
          <w:i/>
          <w:iCs/>
        </w:rPr>
        <w:t>Perspectives on drugs</w:t>
      </w:r>
      <w:r w:rsidRPr="00B37E57">
        <w:t xml:space="preserve"> – POD). Această</w:t>
      </w:r>
      <w:r>
        <w:t xml:space="preserve"> cea mai recentă selecţie de analize interactive online oferă o trecere în revistă la cel mai înalt nivel a principalelor aspecte legate de situaţia drogurilor în Europa</w:t>
      </w:r>
      <w:r w:rsidRPr="006D533B">
        <w:t xml:space="preserve">. </w:t>
      </w:r>
      <w:r>
        <w:t>Seria POD analizează</w:t>
      </w:r>
      <w:r w:rsidRPr="006D533B">
        <w:t xml:space="preserve">: </w:t>
      </w:r>
      <w:r w:rsidR="00CC5B1D">
        <w:t>motivele</w:t>
      </w:r>
      <w:r>
        <w:t xml:space="preserve"> emergente </w:t>
      </w:r>
      <w:r w:rsidR="00CC5B1D">
        <w:t xml:space="preserve">de îngrijorare legate de </w:t>
      </w:r>
      <w:r w:rsidR="002C5771">
        <w:t>consumul</w:t>
      </w:r>
      <w:r>
        <w:t xml:space="preserve"> drogurilor stimulente, noile evoluţii pe piaţa europeană a canabisului, precum şi progresele în ceea ce priveşte tratamentul online pentru </w:t>
      </w:r>
      <w:r w:rsidR="00865406">
        <w:t>consumul</w:t>
      </w:r>
      <w:r>
        <w:t xml:space="preserve"> de droguri şi analiza apei reziduale</w:t>
      </w:r>
      <w:r w:rsidR="00B638A0">
        <w:t>.</w:t>
      </w:r>
    </w:p>
    <w:p w:rsidR="00C501A4" w:rsidRPr="00A6132B" w:rsidRDefault="00A6132B" w:rsidP="00C501A4">
      <w:pPr>
        <w:pStyle w:val="newsContent"/>
        <w:rPr>
          <w:b/>
        </w:rPr>
      </w:pPr>
      <w:r w:rsidRPr="00A6132B">
        <w:rPr>
          <w:b/>
        </w:rPr>
        <w:t>Catinonele sintetice: focare îngrijorătoare de consum prin injectare la nivel local şi naţional</w:t>
      </w:r>
    </w:p>
    <w:p w:rsidR="00A6132B" w:rsidRPr="006D533B" w:rsidRDefault="00A6132B" w:rsidP="00A6132B">
      <w:pPr>
        <w:spacing w:after="260" w:line="26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Peste</w:t>
      </w:r>
      <w:r w:rsidRPr="006D533B">
        <w:rPr>
          <w:rFonts w:ascii="Arial" w:hAnsi="Arial" w:cs="Arial"/>
          <w:sz w:val="20"/>
          <w:szCs w:val="20"/>
        </w:rPr>
        <w:t xml:space="preserve"> 50 </w:t>
      </w:r>
      <w:r>
        <w:rPr>
          <w:rFonts w:ascii="Arial" w:hAnsi="Arial" w:cs="Arial"/>
          <w:sz w:val="20"/>
          <w:szCs w:val="20"/>
        </w:rPr>
        <w:t xml:space="preserve">de derivaţi de catinone sintetice </w:t>
      </w:r>
      <w:r w:rsidRPr="006D533B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droguri stimulente</w:t>
      </w:r>
      <w:r w:rsidRPr="006D533B">
        <w:rPr>
          <w:rFonts w:ascii="Arial" w:hAnsi="Arial" w:cs="Arial"/>
          <w:sz w:val="20"/>
          <w:szCs w:val="20"/>
        </w:rPr>
        <w:t xml:space="preserve">) </w:t>
      </w:r>
      <w:r>
        <w:rPr>
          <w:rFonts w:ascii="Arial" w:hAnsi="Arial" w:cs="Arial"/>
          <w:sz w:val="20"/>
          <w:szCs w:val="20"/>
        </w:rPr>
        <w:t xml:space="preserve">au fost detectaţi prin intermediul </w:t>
      </w:r>
      <w:r w:rsidRPr="005D342A">
        <w:rPr>
          <w:rFonts w:ascii="Arial" w:hAnsi="Arial" w:cs="Arial"/>
          <w:b/>
          <w:bCs/>
          <w:sz w:val="20"/>
          <w:szCs w:val="20"/>
        </w:rPr>
        <w:t>sistemului de avertizare timpurie al UE</w:t>
      </w:r>
      <w:r w:rsidR="00B638A0">
        <w:rPr>
          <w:rFonts w:ascii="Arial" w:hAnsi="Arial" w:cs="Arial"/>
          <w:b/>
          <w:bCs/>
          <w:sz w:val="20"/>
          <w:szCs w:val="20"/>
        </w:rPr>
        <w:t xml:space="preserve"> </w:t>
      </w:r>
      <w:r w:rsidRPr="006D533B">
        <w:rPr>
          <w:rFonts w:ascii="Arial" w:hAnsi="Arial" w:cs="Arial"/>
          <w:b/>
          <w:sz w:val="20"/>
          <w:szCs w:val="20"/>
        </w:rPr>
        <w:t>(EU–EWS)</w:t>
      </w:r>
      <w:r w:rsidR="001642DE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în perioada </w:t>
      </w:r>
      <w:r w:rsidRPr="006D533B">
        <w:rPr>
          <w:rFonts w:ascii="Arial" w:hAnsi="Arial" w:cs="Arial"/>
          <w:sz w:val="20"/>
          <w:szCs w:val="20"/>
        </w:rPr>
        <w:t>2005</w:t>
      </w:r>
      <w:r>
        <w:rPr>
          <w:rFonts w:ascii="Arial" w:hAnsi="Arial" w:cs="Arial"/>
          <w:sz w:val="20"/>
          <w:szCs w:val="20"/>
        </w:rPr>
        <w:t>-</w:t>
      </w:r>
      <w:r w:rsidRPr="006D533B">
        <w:rPr>
          <w:rFonts w:ascii="Arial" w:hAnsi="Arial" w:cs="Arial"/>
          <w:sz w:val="20"/>
          <w:szCs w:val="20"/>
        </w:rPr>
        <w:t xml:space="preserve">2013. </w:t>
      </w:r>
      <w:r>
        <w:rPr>
          <w:rFonts w:ascii="Arial" w:hAnsi="Arial" w:cs="Arial"/>
          <w:sz w:val="20"/>
          <w:szCs w:val="20"/>
        </w:rPr>
        <w:t xml:space="preserve">Printre substanţele monitorizate de </w:t>
      </w:r>
      <w:r w:rsidRPr="006D533B">
        <w:rPr>
          <w:rFonts w:ascii="Arial" w:hAnsi="Arial" w:cs="Arial"/>
          <w:sz w:val="20"/>
          <w:szCs w:val="20"/>
        </w:rPr>
        <w:t xml:space="preserve">EU–EWS </w:t>
      </w:r>
      <w:r>
        <w:rPr>
          <w:rFonts w:ascii="Arial" w:hAnsi="Arial" w:cs="Arial"/>
          <w:sz w:val="20"/>
          <w:szCs w:val="20"/>
        </w:rPr>
        <w:t>se numără</w:t>
      </w:r>
      <w:r w:rsidRPr="006D533B"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mefedrona</w:t>
      </w:r>
      <w:r w:rsidRPr="006D533B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>supusă măsurilor de control în UE în 2010),</w:t>
      </w:r>
      <w:r w:rsidRPr="006D533B">
        <w:rPr>
          <w:rFonts w:ascii="Arial" w:hAnsi="Arial" w:cs="Arial"/>
          <w:sz w:val="20"/>
          <w:szCs w:val="20"/>
        </w:rPr>
        <w:t xml:space="preserve"> MDPV (</w:t>
      </w:r>
      <w:r>
        <w:rPr>
          <w:rFonts w:ascii="Arial" w:hAnsi="Arial" w:cs="Arial"/>
          <w:sz w:val="20"/>
          <w:szCs w:val="20"/>
        </w:rPr>
        <w:t xml:space="preserve">risc evaluat în aprilie </w:t>
      </w:r>
      <w:r w:rsidRPr="006D533B">
        <w:rPr>
          <w:rFonts w:ascii="Arial" w:hAnsi="Arial" w:cs="Arial"/>
          <w:sz w:val="20"/>
          <w:szCs w:val="20"/>
        </w:rPr>
        <w:t xml:space="preserve">2014) </w:t>
      </w:r>
      <w:r>
        <w:rPr>
          <w:rFonts w:ascii="Arial" w:hAnsi="Arial" w:cs="Arial"/>
          <w:sz w:val="20"/>
          <w:szCs w:val="20"/>
        </w:rPr>
        <w:t>şi pentedrona</w:t>
      </w:r>
      <w:r w:rsidRPr="006D533B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 xml:space="preserve">Catinonele sintetice pot fi inhalate sub formă de pudră sau înghiţite sub formă de comprimate, însă analiza </w:t>
      </w:r>
      <w:r w:rsidRPr="006D533B">
        <w:rPr>
          <w:rFonts w:ascii="Arial" w:hAnsi="Arial" w:cs="Arial"/>
          <w:b/>
          <w:sz w:val="20"/>
          <w:szCs w:val="20"/>
        </w:rPr>
        <w:t xml:space="preserve">EMCDDA </w:t>
      </w:r>
      <w:r w:rsidRPr="005D342A">
        <w:rPr>
          <w:rFonts w:ascii="Arial" w:hAnsi="Arial" w:cs="Arial"/>
          <w:bCs/>
          <w:sz w:val="20"/>
          <w:szCs w:val="20"/>
        </w:rPr>
        <w:t>de astăzi</w:t>
      </w:r>
      <w:r w:rsidR="00B638A0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vizează focarele îngrijorătoare de consum al acestor substanţe prin </w:t>
      </w:r>
      <w:r w:rsidR="004C1F92">
        <w:rPr>
          <w:rFonts w:ascii="Arial" w:hAnsi="Arial" w:cs="Arial"/>
          <w:sz w:val="20"/>
          <w:szCs w:val="20"/>
        </w:rPr>
        <w:t>injectare</w:t>
      </w:r>
      <w:r w:rsidRPr="006D533B">
        <w:rPr>
          <w:rFonts w:ascii="Arial" w:hAnsi="Arial" w:cs="Arial"/>
          <w:sz w:val="20"/>
          <w:szCs w:val="20"/>
        </w:rPr>
        <w:t xml:space="preserve">. </w:t>
      </w:r>
    </w:p>
    <w:p w:rsidR="00A6132B" w:rsidRPr="006D533B" w:rsidRDefault="0067286B" w:rsidP="00A6132B">
      <w:pPr>
        <w:spacing w:after="260" w:line="26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="00A6132B">
        <w:rPr>
          <w:rFonts w:ascii="Arial" w:hAnsi="Arial" w:cs="Arial"/>
          <w:sz w:val="20"/>
          <w:szCs w:val="20"/>
        </w:rPr>
        <w:t>njectarea</w:t>
      </w:r>
      <w:r>
        <w:rPr>
          <w:rFonts w:ascii="Arial" w:hAnsi="Arial" w:cs="Arial"/>
          <w:sz w:val="20"/>
          <w:szCs w:val="20"/>
        </w:rPr>
        <w:t xml:space="preserve"> de</w:t>
      </w:r>
      <w:r w:rsidR="00B638A0">
        <w:rPr>
          <w:rFonts w:ascii="Arial" w:hAnsi="Arial" w:cs="Arial"/>
          <w:sz w:val="20"/>
          <w:szCs w:val="20"/>
        </w:rPr>
        <w:t xml:space="preserve"> </w:t>
      </w:r>
      <w:r w:rsidR="00A6132B">
        <w:rPr>
          <w:rFonts w:ascii="Arial" w:hAnsi="Arial" w:cs="Arial"/>
          <w:sz w:val="20"/>
          <w:szCs w:val="20"/>
        </w:rPr>
        <w:t xml:space="preserve">catinone nu este răspândită în Europa, </w:t>
      </w:r>
      <w:r>
        <w:rPr>
          <w:rFonts w:ascii="Arial" w:hAnsi="Arial" w:cs="Arial"/>
          <w:sz w:val="20"/>
          <w:szCs w:val="20"/>
        </w:rPr>
        <w:t xml:space="preserve">dar </w:t>
      </w:r>
      <w:r w:rsidR="00A6132B">
        <w:rPr>
          <w:rFonts w:ascii="Arial" w:hAnsi="Arial" w:cs="Arial"/>
          <w:sz w:val="20"/>
          <w:szCs w:val="20"/>
        </w:rPr>
        <w:t xml:space="preserve">a fost remarcată ca problemă locală în cadrul grupurilor de consumatori de droguri de mare risc în unele ţări </w:t>
      </w:r>
      <w:r w:rsidR="00A6132B" w:rsidRPr="006D533B">
        <w:rPr>
          <w:rFonts w:ascii="Arial" w:hAnsi="Arial" w:cs="Arial"/>
          <w:sz w:val="20"/>
          <w:szCs w:val="20"/>
        </w:rPr>
        <w:t>(</w:t>
      </w:r>
      <w:r w:rsidR="00A6132B">
        <w:rPr>
          <w:rFonts w:ascii="Arial" w:hAnsi="Arial" w:cs="Arial"/>
          <w:sz w:val="20"/>
          <w:szCs w:val="20"/>
        </w:rPr>
        <w:t xml:space="preserve">de exemplu, </w:t>
      </w:r>
      <w:r w:rsidR="00A6132B" w:rsidRPr="006D533B">
        <w:rPr>
          <w:rFonts w:ascii="Arial" w:hAnsi="Arial" w:cs="Arial"/>
          <w:b/>
          <w:sz w:val="20"/>
          <w:szCs w:val="20"/>
        </w:rPr>
        <w:t>Republic</w:t>
      </w:r>
      <w:r w:rsidR="00A6132B">
        <w:rPr>
          <w:rFonts w:ascii="Arial" w:hAnsi="Arial" w:cs="Arial"/>
          <w:b/>
          <w:sz w:val="20"/>
          <w:szCs w:val="20"/>
        </w:rPr>
        <w:t>a Cehă, Germania</w:t>
      </w:r>
      <w:r w:rsidR="00A6132B" w:rsidRPr="006D533B">
        <w:rPr>
          <w:rFonts w:ascii="Arial" w:hAnsi="Arial" w:cs="Arial"/>
          <w:b/>
          <w:sz w:val="20"/>
          <w:szCs w:val="20"/>
        </w:rPr>
        <w:t>, Irland</w:t>
      </w:r>
      <w:r w:rsidR="00A6132B">
        <w:rPr>
          <w:rFonts w:ascii="Arial" w:hAnsi="Arial" w:cs="Arial"/>
          <w:b/>
          <w:sz w:val="20"/>
          <w:szCs w:val="20"/>
        </w:rPr>
        <w:t>a</w:t>
      </w:r>
      <w:r w:rsidR="00A6132B" w:rsidRPr="006D533B">
        <w:rPr>
          <w:rFonts w:ascii="Arial" w:hAnsi="Arial" w:cs="Arial"/>
          <w:b/>
          <w:sz w:val="20"/>
          <w:szCs w:val="20"/>
        </w:rPr>
        <w:t xml:space="preserve">, </w:t>
      </w:r>
      <w:r w:rsidR="00A6132B">
        <w:rPr>
          <w:rFonts w:ascii="Arial" w:hAnsi="Arial" w:cs="Arial"/>
          <w:b/>
          <w:sz w:val="20"/>
          <w:szCs w:val="20"/>
        </w:rPr>
        <w:t>Spania</w:t>
      </w:r>
      <w:r w:rsidR="00A6132B" w:rsidRPr="006D533B">
        <w:rPr>
          <w:rFonts w:ascii="Arial" w:hAnsi="Arial" w:cs="Arial"/>
          <w:b/>
          <w:sz w:val="20"/>
          <w:szCs w:val="20"/>
        </w:rPr>
        <w:t xml:space="preserve">, Austria, </w:t>
      </w:r>
      <w:r w:rsidR="00A6132B">
        <w:rPr>
          <w:rFonts w:ascii="Arial" w:hAnsi="Arial" w:cs="Arial"/>
          <w:b/>
          <w:sz w:val="20"/>
          <w:szCs w:val="20"/>
        </w:rPr>
        <w:t>Polonia</w:t>
      </w:r>
      <w:r w:rsidR="00A6132B" w:rsidRPr="006D533B">
        <w:rPr>
          <w:rFonts w:ascii="Arial" w:hAnsi="Arial" w:cs="Arial"/>
          <w:b/>
          <w:sz w:val="20"/>
          <w:szCs w:val="20"/>
        </w:rPr>
        <w:t>, Finland</w:t>
      </w:r>
      <w:r w:rsidR="00A6132B">
        <w:rPr>
          <w:rFonts w:ascii="Arial" w:hAnsi="Arial" w:cs="Arial"/>
          <w:b/>
          <w:sz w:val="20"/>
          <w:szCs w:val="20"/>
        </w:rPr>
        <w:t>a</w:t>
      </w:r>
      <w:r w:rsidR="00A6132B" w:rsidRPr="006D533B">
        <w:rPr>
          <w:rFonts w:ascii="Arial" w:hAnsi="Arial" w:cs="Arial"/>
          <w:b/>
          <w:sz w:val="20"/>
          <w:szCs w:val="20"/>
        </w:rPr>
        <w:t xml:space="preserve">, </w:t>
      </w:r>
      <w:r w:rsidR="00A6132B">
        <w:rPr>
          <w:rFonts w:ascii="Arial" w:hAnsi="Arial" w:cs="Arial"/>
          <w:b/>
          <w:sz w:val="20"/>
          <w:szCs w:val="20"/>
        </w:rPr>
        <w:t xml:space="preserve">Suedia </w:t>
      </w:r>
      <w:r w:rsidR="00A6132B">
        <w:rPr>
          <w:rFonts w:ascii="Arial" w:hAnsi="Arial" w:cs="Arial"/>
          <w:sz w:val="20"/>
          <w:szCs w:val="20"/>
        </w:rPr>
        <w:t xml:space="preserve">şi </w:t>
      </w:r>
      <w:r w:rsidR="00A6132B">
        <w:rPr>
          <w:rFonts w:ascii="Arial" w:hAnsi="Arial" w:cs="Arial"/>
          <w:b/>
          <w:sz w:val="20"/>
          <w:szCs w:val="20"/>
        </w:rPr>
        <w:t>Regatul Unit</w:t>
      </w:r>
      <w:r w:rsidR="00A6132B" w:rsidRPr="006D533B">
        <w:rPr>
          <w:rFonts w:ascii="Arial" w:hAnsi="Arial" w:cs="Arial"/>
          <w:sz w:val="20"/>
          <w:szCs w:val="20"/>
        </w:rPr>
        <w:t xml:space="preserve">). </w:t>
      </w:r>
      <w:r w:rsidR="00A6132B">
        <w:rPr>
          <w:rFonts w:ascii="Arial" w:hAnsi="Arial" w:cs="Arial"/>
          <w:sz w:val="20"/>
          <w:szCs w:val="20"/>
        </w:rPr>
        <w:t xml:space="preserve">În </w:t>
      </w:r>
      <w:r w:rsidR="00A6132B">
        <w:rPr>
          <w:rFonts w:ascii="Arial" w:hAnsi="Arial" w:cs="Arial"/>
          <w:b/>
          <w:sz w:val="20"/>
          <w:szCs w:val="20"/>
        </w:rPr>
        <w:t xml:space="preserve">Ungaria </w:t>
      </w:r>
      <w:r w:rsidR="00A6132B">
        <w:rPr>
          <w:rFonts w:ascii="Arial" w:hAnsi="Arial" w:cs="Arial"/>
          <w:sz w:val="20"/>
          <w:szCs w:val="20"/>
        </w:rPr>
        <w:t xml:space="preserve">şi </w:t>
      </w:r>
      <w:r w:rsidR="00A6132B">
        <w:rPr>
          <w:rFonts w:ascii="Arial" w:hAnsi="Arial" w:cs="Arial"/>
          <w:b/>
          <w:sz w:val="20"/>
          <w:szCs w:val="20"/>
        </w:rPr>
        <w:t>Româ</w:t>
      </w:r>
      <w:r w:rsidR="00A6132B" w:rsidRPr="006D533B">
        <w:rPr>
          <w:rFonts w:ascii="Arial" w:hAnsi="Arial" w:cs="Arial"/>
          <w:b/>
          <w:sz w:val="20"/>
          <w:szCs w:val="20"/>
        </w:rPr>
        <w:t>nia</w:t>
      </w:r>
      <w:r w:rsidR="00A6132B" w:rsidRPr="006D533B">
        <w:rPr>
          <w:rFonts w:ascii="Arial" w:hAnsi="Arial" w:cs="Arial"/>
          <w:sz w:val="20"/>
          <w:szCs w:val="20"/>
        </w:rPr>
        <w:t xml:space="preserve">, </w:t>
      </w:r>
      <w:r w:rsidR="00A6132B">
        <w:rPr>
          <w:rFonts w:ascii="Arial" w:hAnsi="Arial" w:cs="Arial"/>
          <w:sz w:val="20"/>
          <w:szCs w:val="20"/>
        </w:rPr>
        <w:t xml:space="preserve">s-a observat </w:t>
      </w:r>
      <w:r>
        <w:rPr>
          <w:rFonts w:ascii="Arial" w:hAnsi="Arial" w:cs="Arial"/>
          <w:sz w:val="20"/>
          <w:szCs w:val="20"/>
        </w:rPr>
        <w:t>însă</w:t>
      </w:r>
      <w:r w:rsidR="00A6132B">
        <w:rPr>
          <w:rFonts w:ascii="Arial" w:hAnsi="Arial" w:cs="Arial"/>
          <w:sz w:val="20"/>
          <w:szCs w:val="20"/>
        </w:rPr>
        <w:t xml:space="preserve"> o practică mai generalizată a consumului acestor substanţe prin injectare</w:t>
      </w:r>
      <w:r w:rsidR="00A6132B" w:rsidRPr="006D533B">
        <w:rPr>
          <w:rFonts w:ascii="Arial" w:hAnsi="Arial" w:cs="Arial"/>
          <w:sz w:val="20"/>
          <w:szCs w:val="20"/>
        </w:rPr>
        <w:t xml:space="preserve">. </w:t>
      </w:r>
      <w:r w:rsidR="00A6132B">
        <w:rPr>
          <w:rFonts w:ascii="Arial" w:hAnsi="Arial" w:cs="Arial"/>
          <w:sz w:val="20"/>
          <w:szCs w:val="20"/>
        </w:rPr>
        <w:t xml:space="preserve">Un sondaj la nivel naţional privind programele de distribuţie de ace şi seringi în </w:t>
      </w:r>
      <w:r w:rsidR="00A6132B">
        <w:rPr>
          <w:rFonts w:ascii="Arial" w:hAnsi="Arial" w:cs="Arial"/>
          <w:b/>
          <w:sz w:val="20"/>
          <w:szCs w:val="20"/>
        </w:rPr>
        <w:t>Ungaria</w:t>
      </w:r>
      <w:r w:rsidR="00A6132B" w:rsidRPr="006D533B">
        <w:rPr>
          <w:rFonts w:ascii="Arial" w:hAnsi="Arial" w:cs="Arial"/>
          <w:sz w:val="20"/>
          <w:szCs w:val="20"/>
        </w:rPr>
        <w:t xml:space="preserve">, </w:t>
      </w:r>
      <w:r w:rsidR="00A6132B">
        <w:rPr>
          <w:rFonts w:ascii="Arial" w:hAnsi="Arial" w:cs="Arial"/>
          <w:sz w:val="20"/>
          <w:szCs w:val="20"/>
        </w:rPr>
        <w:t>de exemplu</w:t>
      </w:r>
      <w:r w:rsidR="00A6132B" w:rsidRPr="006D533B">
        <w:rPr>
          <w:rFonts w:ascii="Arial" w:hAnsi="Arial" w:cs="Arial"/>
          <w:sz w:val="20"/>
          <w:szCs w:val="20"/>
        </w:rPr>
        <w:t xml:space="preserve">, </w:t>
      </w:r>
      <w:r w:rsidR="00A6132B">
        <w:rPr>
          <w:rFonts w:ascii="Arial" w:hAnsi="Arial" w:cs="Arial"/>
          <w:sz w:val="20"/>
          <w:szCs w:val="20"/>
        </w:rPr>
        <w:t xml:space="preserve">a arătat că, în </w:t>
      </w:r>
      <w:r w:rsidR="00A6132B" w:rsidRPr="006D533B">
        <w:rPr>
          <w:rFonts w:ascii="Arial" w:hAnsi="Arial" w:cs="Arial"/>
          <w:sz w:val="20"/>
          <w:szCs w:val="20"/>
        </w:rPr>
        <w:t xml:space="preserve">2012, 36% </w:t>
      </w:r>
      <w:r w:rsidR="00913C82">
        <w:rPr>
          <w:rFonts w:ascii="Arial" w:hAnsi="Arial" w:cs="Arial"/>
          <w:sz w:val="20"/>
          <w:szCs w:val="20"/>
        </w:rPr>
        <w:t>din</w:t>
      </w:r>
      <w:r w:rsidR="00B638A0">
        <w:rPr>
          <w:rFonts w:ascii="Arial" w:hAnsi="Arial" w:cs="Arial"/>
          <w:sz w:val="20"/>
          <w:szCs w:val="20"/>
        </w:rPr>
        <w:t>tre</w:t>
      </w:r>
      <w:r w:rsidR="00A6132B">
        <w:rPr>
          <w:rFonts w:ascii="Arial" w:hAnsi="Arial" w:cs="Arial"/>
          <w:sz w:val="20"/>
          <w:szCs w:val="20"/>
        </w:rPr>
        <w:t xml:space="preserve"> beneficiarii programelor</w:t>
      </w:r>
      <w:r w:rsidR="00B638A0">
        <w:rPr>
          <w:rFonts w:ascii="Arial" w:hAnsi="Arial" w:cs="Arial"/>
          <w:sz w:val="20"/>
          <w:szCs w:val="20"/>
        </w:rPr>
        <w:t xml:space="preserve"> </w:t>
      </w:r>
      <w:r w:rsidR="00A6132B">
        <w:rPr>
          <w:rFonts w:ascii="Arial" w:hAnsi="Arial" w:cs="Arial"/>
          <w:sz w:val="20"/>
          <w:szCs w:val="20"/>
        </w:rPr>
        <w:t>consumau catinone prin injectare ca drog primar</w:t>
      </w:r>
      <w:r w:rsidR="00A6132B" w:rsidRPr="006D533B">
        <w:rPr>
          <w:rFonts w:ascii="Arial" w:hAnsi="Arial" w:cs="Arial"/>
          <w:sz w:val="20"/>
          <w:szCs w:val="20"/>
        </w:rPr>
        <w:t xml:space="preserve">. </w:t>
      </w:r>
    </w:p>
    <w:p w:rsidR="00C501A4" w:rsidRPr="00330B5B" w:rsidRDefault="00A6132B" w:rsidP="00A6132B">
      <w:pPr>
        <w:pStyle w:val="newsContent"/>
      </w:pPr>
      <w:r>
        <w:rPr>
          <w:rFonts w:cs="Arial"/>
          <w:szCs w:val="20"/>
        </w:rPr>
        <w:t>Un comportament din ce în ce mai îngrijorător –</w:t>
      </w:r>
      <w:r w:rsidR="00FE51CE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observat în rândul subgrupurilor de bărbaţi care întreţin relaţii homosexuale – este injectarea mai multor droguri ilegale </w:t>
      </w:r>
      <w:r w:rsidRPr="006D533B">
        <w:rPr>
          <w:rFonts w:cs="Arial"/>
          <w:szCs w:val="20"/>
        </w:rPr>
        <w:t>(</w:t>
      </w:r>
      <w:r>
        <w:rPr>
          <w:rFonts w:cs="Arial"/>
          <w:szCs w:val="20"/>
        </w:rPr>
        <w:t>de exemplu catinone şi metamfetamină</w:t>
      </w:r>
      <w:r w:rsidRPr="006D533B">
        <w:rPr>
          <w:rFonts w:cs="Arial"/>
          <w:szCs w:val="20"/>
        </w:rPr>
        <w:t xml:space="preserve">) </w:t>
      </w:r>
      <w:r>
        <w:rPr>
          <w:rFonts w:cs="Arial"/>
          <w:szCs w:val="20"/>
        </w:rPr>
        <w:t>în</w:t>
      </w:r>
      <w:r w:rsidR="00CC5B1D">
        <w:rPr>
          <w:rFonts w:cs="Arial"/>
          <w:szCs w:val="20"/>
        </w:rPr>
        <w:t xml:space="preserve"> contextul aşa-numitelor</w:t>
      </w:r>
      <w:r>
        <w:rPr>
          <w:rFonts w:cs="Arial"/>
          <w:szCs w:val="20"/>
        </w:rPr>
        <w:t xml:space="preserve"> „</w:t>
      </w:r>
      <w:r w:rsidRPr="004614EF">
        <w:rPr>
          <w:rFonts w:cs="Arial"/>
          <w:i/>
          <w:iCs/>
          <w:szCs w:val="20"/>
        </w:rPr>
        <w:t>chem sex parties</w:t>
      </w:r>
      <w:r>
        <w:rPr>
          <w:rFonts w:cs="Arial"/>
          <w:szCs w:val="20"/>
        </w:rPr>
        <w:t>”</w:t>
      </w:r>
      <w:r w:rsidR="00FE51CE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(petreceri unde se consumă droguri în scopul şi în timpul întreţinerii de relaţii sexuale)</w:t>
      </w:r>
      <w:r w:rsidRPr="006D533B">
        <w:rPr>
          <w:rFonts w:cs="Arial"/>
          <w:szCs w:val="20"/>
        </w:rPr>
        <w:t xml:space="preserve">. </w:t>
      </w:r>
      <w:r>
        <w:rPr>
          <w:rFonts w:cs="Arial"/>
          <w:szCs w:val="20"/>
        </w:rPr>
        <w:t xml:space="preserve">Până în prezent, această nouă practică, asociată unor practici sexuale riscante, a fost raportată în unele oraşe mari. Având în vedere potenţialul impact al </w:t>
      </w:r>
      <w:r w:rsidR="0067286B">
        <w:rPr>
          <w:rFonts w:cs="Arial"/>
          <w:szCs w:val="20"/>
        </w:rPr>
        <w:t>modelelor</w:t>
      </w:r>
      <w:r>
        <w:rPr>
          <w:rFonts w:cs="Arial"/>
          <w:szCs w:val="20"/>
        </w:rPr>
        <w:t xml:space="preserve"> emergente identificate ale consumului de catinone prin injectare, monitorizarea atentă </w:t>
      </w:r>
      <w:r w:rsidR="00CC5B1D">
        <w:rPr>
          <w:rFonts w:cs="Arial"/>
          <w:szCs w:val="20"/>
        </w:rPr>
        <w:t xml:space="preserve">a </w:t>
      </w:r>
      <w:r>
        <w:rPr>
          <w:rFonts w:cs="Arial"/>
          <w:szCs w:val="20"/>
        </w:rPr>
        <w:t>aceste</w:t>
      </w:r>
      <w:r w:rsidR="00CC5B1D">
        <w:rPr>
          <w:rFonts w:cs="Arial"/>
          <w:szCs w:val="20"/>
        </w:rPr>
        <w:t>i</w:t>
      </w:r>
      <w:r>
        <w:rPr>
          <w:rFonts w:cs="Arial"/>
          <w:szCs w:val="20"/>
        </w:rPr>
        <w:t xml:space="preserve"> probleme reprezintă o prioritate de sănătate publică.</w:t>
      </w:r>
    </w:p>
    <w:p w:rsidR="00A6132B" w:rsidRDefault="00A6132B" w:rsidP="00CC5B1D">
      <w:pPr>
        <w:pStyle w:val="newsContent"/>
      </w:pPr>
      <w:r>
        <w:rPr>
          <w:rFonts w:cs="Arial"/>
          <w:b/>
          <w:szCs w:val="20"/>
        </w:rPr>
        <w:t>Metamfetamina</w:t>
      </w:r>
      <w:r w:rsidRPr="006D533B">
        <w:rPr>
          <w:rFonts w:cs="Arial"/>
          <w:b/>
          <w:szCs w:val="20"/>
        </w:rPr>
        <w:t xml:space="preserve">: </w:t>
      </w:r>
      <w:r>
        <w:rPr>
          <w:rFonts w:cs="Arial"/>
          <w:b/>
          <w:szCs w:val="20"/>
        </w:rPr>
        <w:t>motivele de îngrijora</w:t>
      </w:r>
      <w:r w:rsidR="00CC5B1D">
        <w:rPr>
          <w:rFonts w:cs="Arial"/>
          <w:b/>
          <w:szCs w:val="20"/>
        </w:rPr>
        <w:t>re cresc pe măsură ce apar</w:t>
      </w:r>
      <w:r w:rsidR="00FE51CE">
        <w:rPr>
          <w:rFonts w:cs="Arial"/>
          <w:b/>
          <w:szCs w:val="20"/>
        </w:rPr>
        <w:t xml:space="preserve"> </w:t>
      </w:r>
      <w:r w:rsidR="0067286B">
        <w:rPr>
          <w:rFonts w:cs="Arial"/>
          <w:b/>
          <w:szCs w:val="20"/>
        </w:rPr>
        <w:t>modele</w:t>
      </w:r>
      <w:r>
        <w:rPr>
          <w:rFonts w:cs="Arial"/>
          <w:b/>
          <w:szCs w:val="20"/>
        </w:rPr>
        <w:t xml:space="preserve"> noi şi diverse de consum</w:t>
      </w:r>
    </w:p>
    <w:p w:rsidR="00A6132B" w:rsidRPr="006D533B" w:rsidRDefault="00A6132B" w:rsidP="00865406">
      <w:pPr>
        <w:spacing w:after="260" w:line="260" w:lineRule="exact"/>
        <w:ind w:right="-28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Metamfetamina este un drog stimulent cunoscut în multe părţi ale lumii </w:t>
      </w:r>
      <w:r w:rsidRPr="006D533B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de exemplu, Asia de Sud-Est, Statele Unite ale Americii</w:t>
      </w:r>
      <w:r w:rsidRPr="006D533B">
        <w:rPr>
          <w:rFonts w:ascii="Arial" w:hAnsi="Arial" w:cs="Arial"/>
          <w:sz w:val="20"/>
          <w:szCs w:val="20"/>
        </w:rPr>
        <w:t xml:space="preserve">), </w:t>
      </w:r>
      <w:r>
        <w:rPr>
          <w:rFonts w:ascii="Arial" w:hAnsi="Arial" w:cs="Arial"/>
          <w:sz w:val="20"/>
          <w:szCs w:val="20"/>
        </w:rPr>
        <w:t xml:space="preserve">unde </w:t>
      </w:r>
      <w:r w:rsidR="00CC5B1D">
        <w:rPr>
          <w:rFonts w:ascii="Arial" w:hAnsi="Arial" w:cs="Arial"/>
          <w:sz w:val="20"/>
          <w:szCs w:val="20"/>
        </w:rPr>
        <w:t>provoacă</w:t>
      </w:r>
      <w:r>
        <w:rPr>
          <w:rFonts w:ascii="Arial" w:hAnsi="Arial" w:cs="Arial"/>
          <w:sz w:val="20"/>
          <w:szCs w:val="20"/>
        </w:rPr>
        <w:t xml:space="preserve"> de multă vreme probleme considerabile de sănătate publică</w:t>
      </w:r>
      <w:r w:rsidRPr="006D533B">
        <w:rPr>
          <w:rFonts w:ascii="Arial" w:hAnsi="Arial" w:cs="Arial"/>
          <w:sz w:val="20"/>
          <w:szCs w:val="20"/>
        </w:rPr>
        <w:t xml:space="preserve">. </w:t>
      </w:r>
      <w:r w:rsidR="00AA420B">
        <w:rPr>
          <w:rFonts w:ascii="Arial" w:hAnsi="Arial" w:cs="Arial"/>
          <w:sz w:val="20"/>
          <w:szCs w:val="20"/>
        </w:rPr>
        <w:t xml:space="preserve"> </w:t>
      </w:r>
      <w:r w:rsidR="00CC5B1D">
        <w:rPr>
          <w:rFonts w:ascii="Arial" w:hAnsi="Arial" w:cs="Arial"/>
          <w:sz w:val="20"/>
          <w:szCs w:val="20"/>
        </w:rPr>
        <w:t>Deşi în Europa</w:t>
      </w:r>
      <w:r>
        <w:rPr>
          <w:rFonts w:ascii="Arial" w:hAnsi="Arial" w:cs="Arial"/>
          <w:sz w:val="20"/>
          <w:szCs w:val="20"/>
        </w:rPr>
        <w:t xml:space="preserve"> consumul de metamfetamină a fost limitat din punct de vedere istoric la </w:t>
      </w:r>
      <w:r w:rsidRPr="006D533B">
        <w:rPr>
          <w:rFonts w:ascii="Arial" w:hAnsi="Arial" w:cs="Arial"/>
          <w:b/>
          <w:sz w:val="20"/>
          <w:szCs w:val="20"/>
        </w:rPr>
        <w:t>Republic</w:t>
      </w:r>
      <w:r>
        <w:rPr>
          <w:rFonts w:ascii="Arial" w:hAnsi="Arial" w:cs="Arial"/>
          <w:b/>
          <w:sz w:val="20"/>
          <w:szCs w:val="20"/>
        </w:rPr>
        <w:t xml:space="preserve">a Cehă </w:t>
      </w:r>
      <w:r w:rsidRPr="00933F88">
        <w:rPr>
          <w:rFonts w:ascii="Arial" w:hAnsi="Arial" w:cs="Arial"/>
          <w:bCs/>
          <w:sz w:val="20"/>
          <w:szCs w:val="20"/>
        </w:rPr>
        <w:t>şi</w:t>
      </w:r>
      <w:r w:rsidR="005B61DA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Slovac</w:t>
      </w:r>
      <w:r w:rsidRPr="006D533B">
        <w:rPr>
          <w:rFonts w:ascii="Arial" w:hAnsi="Arial" w:cs="Arial"/>
          <w:b/>
          <w:sz w:val="20"/>
          <w:szCs w:val="20"/>
        </w:rPr>
        <w:t>ia</w:t>
      </w:r>
      <w:r w:rsidRPr="006D533B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noi pieţe şi </w:t>
      </w:r>
      <w:r w:rsidR="0067286B">
        <w:rPr>
          <w:rFonts w:ascii="Arial" w:hAnsi="Arial" w:cs="Arial"/>
          <w:sz w:val="20"/>
          <w:szCs w:val="20"/>
        </w:rPr>
        <w:t>modele</w:t>
      </w:r>
      <w:r>
        <w:rPr>
          <w:rFonts w:ascii="Arial" w:hAnsi="Arial" w:cs="Arial"/>
          <w:sz w:val="20"/>
          <w:szCs w:val="20"/>
        </w:rPr>
        <w:t xml:space="preserve"> de consum apar în prezent în alte zone şi </w:t>
      </w:r>
      <w:r w:rsidR="00CC5B1D">
        <w:rPr>
          <w:rFonts w:ascii="Arial" w:hAnsi="Arial" w:cs="Arial"/>
          <w:sz w:val="20"/>
          <w:szCs w:val="20"/>
        </w:rPr>
        <w:t>în rândul</w:t>
      </w:r>
      <w:r>
        <w:rPr>
          <w:rFonts w:ascii="Arial" w:hAnsi="Arial" w:cs="Arial"/>
          <w:sz w:val="20"/>
          <w:szCs w:val="20"/>
        </w:rPr>
        <w:t xml:space="preserve"> unor populaţii diverse</w:t>
      </w:r>
      <w:r w:rsidRPr="006D533B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 xml:space="preserve">Printre exemple se numără </w:t>
      </w:r>
      <w:r>
        <w:rPr>
          <w:rFonts w:ascii="Arial" w:hAnsi="Arial" w:cs="Arial"/>
          <w:i/>
          <w:sz w:val="20"/>
          <w:szCs w:val="20"/>
        </w:rPr>
        <w:t>priza</w:t>
      </w:r>
      <w:r w:rsidR="0067286B">
        <w:rPr>
          <w:rFonts w:ascii="Arial" w:hAnsi="Arial" w:cs="Arial"/>
          <w:i/>
          <w:sz w:val="20"/>
          <w:szCs w:val="20"/>
        </w:rPr>
        <w:t xml:space="preserve">tul </w:t>
      </w:r>
      <w:r w:rsidR="0067286B" w:rsidRPr="0067286B">
        <w:rPr>
          <w:rFonts w:ascii="Arial" w:hAnsi="Arial" w:cs="Arial"/>
          <w:sz w:val="20"/>
          <w:szCs w:val="20"/>
        </w:rPr>
        <w:t>de</w:t>
      </w:r>
      <w:r w:rsidR="005B61D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metamfetamin</w:t>
      </w:r>
      <w:r w:rsidR="0067286B">
        <w:rPr>
          <w:rFonts w:ascii="Arial" w:hAnsi="Arial" w:cs="Arial"/>
          <w:sz w:val="20"/>
          <w:szCs w:val="20"/>
        </w:rPr>
        <w:t>ă</w:t>
      </w:r>
      <w:r w:rsidR="005B61DA">
        <w:rPr>
          <w:rFonts w:ascii="Arial" w:hAnsi="Arial" w:cs="Arial"/>
          <w:sz w:val="20"/>
          <w:szCs w:val="20"/>
        </w:rPr>
        <w:t xml:space="preserve"> </w:t>
      </w:r>
      <w:r w:rsidRPr="006D533B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pudră</w:t>
      </w:r>
      <w:r w:rsidRPr="006D533B">
        <w:rPr>
          <w:rFonts w:ascii="Arial" w:hAnsi="Arial" w:cs="Arial"/>
          <w:sz w:val="20"/>
          <w:szCs w:val="20"/>
        </w:rPr>
        <w:t xml:space="preserve">) </w:t>
      </w:r>
      <w:r>
        <w:rPr>
          <w:rFonts w:ascii="Arial" w:hAnsi="Arial" w:cs="Arial"/>
          <w:sz w:val="20"/>
          <w:szCs w:val="20"/>
        </w:rPr>
        <w:t xml:space="preserve">de către consumatorii de droguri în scop </w:t>
      </w:r>
      <w:r>
        <w:rPr>
          <w:rFonts w:ascii="Arial" w:hAnsi="Arial" w:cs="Arial"/>
          <w:sz w:val="20"/>
          <w:szCs w:val="20"/>
        </w:rPr>
        <w:lastRenderedPageBreak/>
        <w:t xml:space="preserve">recreativ în </w:t>
      </w:r>
      <w:r>
        <w:rPr>
          <w:rFonts w:ascii="Arial" w:hAnsi="Arial" w:cs="Arial"/>
          <w:b/>
          <w:sz w:val="20"/>
          <w:szCs w:val="20"/>
        </w:rPr>
        <w:t>Germania</w:t>
      </w:r>
      <w:r w:rsidRPr="002C5771">
        <w:rPr>
          <w:rFonts w:ascii="Arial" w:hAnsi="Arial" w:cs="Arial"/>
          <w:bCs/>
          <w:sz w:val="20"/>
          <w:szCs w:val="20"/>
        </w:rPr>
        <w:t>,</w:t>
      </w:r>
      <w:r w:rsidR="005B61DA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 xml:space="preserve">fumatul </w:t>
      </w:r>
      <w:r w:rsidR="0067286B">
        <w:rPr>
          <w:rFonts w:ascii="Arial" w:hAnsi="Arial" w:cs="Arial"/>
          <w:i/>
          <w:sz w:val="20"/>
          <w:szCs w:val="20"/>
        </w:rPr>
        <w:t xml:space="preserve">de </w:t>
      </w:r>
      <w:r>
        <w:rPr>
          <w:rFonts w:ascii="Arial" w:hAnsi="Arial" w:cs="Arial"/>
          <w:sz w:val="20"/>
          <w:szCs w:val="20"/>
        </w:rPr>
        <w:t>metamfetamin</w:t>
      </w:r>
      <w:r w:rsidR="0067286B">
        <w:rPr>
          <w:rFonts w:ascii="Arial" w:hAnsi="Arial" w:cs="Arial"/>
          <w:sz w:val="20"/>
          <w:szCs w:val="20"/>
        </w:rPr>
        <w:t>ă</w:t>
      </w:r>
      <w:r>
        <w:rPr>
          <w:rFonts w:ascii="Arial" w:hAnsi="Arial" w:cs="Arial"/>
          <w:sz w:val="20"/>
          <w:szCs w:val="20"/>
        </w:rPr>
        <w:t xml:space="preserve"> cristalizat</w:t>
      </w:r>
      <w:r w:rsidR="0067286B">
        <w:rPr>
          <w:rFonts w:ascii="Arial" w:hAnsi="Arial" w:cs="Arial"/>
          <w:sz w:val="20"/>
          <w:szCs w:val="20"/>
        </w:rPr>
        <w:t>ă</w:t>
      </w:r>
      <w:r>
        <w:rPr>
          <w:rFonts w:ascii="Arial" w:hAnsi="Arial" w:cs="Arial"/>
          <w:sz w:val="20"/>
          <w:szCs w:val="20"/>
        </w:rPr>
        <w:t xml:space="preserve"> de către consumatorii de </w:t>
      </w:r>
      <w:r w:rsidR="00865406">
        <w:rPr>
          <w:rFonts w:ascii="Arial" w:hAnsi="Arial" w:cs="Arial"/>
          <w:sz w:val="20"/>
          <w:szCs w:val="20"/>
        </w:rPr>
        <w:t>opiacee</w:t>
      </w:r>
      <w:r>
        <w:rPr>
          <w:rFonts w:ascii="Arial" w:hAnsi="Arial" w:cs="Arial"/>
          <w:sz w:val="20"/>
          <w:szCs w:val="20"/>
        </w:rPr>
        <w:t xml:space="preserve"> în </w:t>
      </w:r>
      <w:r>
        <w:rPr>
          <w:rFonts w:ascii="Arial" w:hAnsi="Arial" w:cs="Arial"/>
          <w:b/>
          <w:sz w:val="20"/>
          <w:szCs w:val="20"/>
        </w:rPr>
        <w:t>Grecia</w:t>
      </w:r>
      <w:r w:rsidRPr="006D533B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 xml:space="preserve">Cipru </w:t>
      </w:r>
      <w:r>
        <w:rPr>
          <w:rFonts w:ascii="Arial" w:hAnsi="Arial" w:cs="Arial"/>
          <w:sz w:val="20"/>
          <w:szCs w:val="20"/>
        </w:rPr>
        <w:t xml:space="preserve">şi </w:t>
      </w:r>
      <w:r>
        <w:rPr>
          <w:rFonts w:ascii="Arial" w:hAnsi="Arial" w:cs="Arial"/>
          <w:b/>
          <w:sz w:val="20"/>
          <w:szCs w:val="20"/>
        </w:rPr>
        <w:t>Turcia</w:t>
      </w:r>
      <w:r w:rsidR="005B61DA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şi </w:t>
      </w:r>
      <w:r>
        <w:rPr>
          <w:rFonts w:ascii="Arial" w:hAnsi="Arial" w:cs="Arial"/>
          <w:i/>
          <w:sz w:val="20"/>
          <w:szCs w:val="20"/>
        </w:rPr>
        <w:t xml:space="preserve">injectarea </w:t>
      </w:r>
      <w:r w:rsidRPr="006D533B">
        <w:rPr>
          <w:rFonts w:ascii="Arial" w:hAnsi="Arial" w:cs="Arial"/>
          <w:sz w:val="20"/>
          <w:szCs w:val="20"/>
        </w:rPr>
        <w:t>dr</w:t>
      </w:r>
      <w:r>
        <w:rPr>
          <w:rFonts w:ascii="Arial" w:hAnsi="Arial" w:cs="Arial"/>
          <w:sz w:val="20"/>
          <w:szCs w:val="20"/>
        </w:rPr>
        <w:t>o</w:t>
      </w:r>
      <w:r w:rsidRPr="006D533B">
        <w:rPr>
          <w:rFonts w:ascii="Arial" w:hAnsi="Arial" w:cs="Arial"/>
          <w:sz w:val="20"/>
          <w:szCs w:val="20"/>
        </w:rPr>
        <w:t>g</w:t>
      </w:r>
      <w:r>
        <w:rPr>
          <w:rFonts w:ascii="Arial" w:hAnsi="Arial" w:cs="Arial"/>
          <w:sz w:val="20"/>
          <w:szCs w:val="20"/>
        </w:rPr>
        <w:t>ului împreună cu alte substanţe în rândul bărbaţilor care întreţin relaţii homosexuale (a se vedea mai sus</w:t>
      </w:r>
      <w:r w:rsidRPr="006D533B">
        <w:rPr>
          <w:rFonts w:ascii="Arial" w:hAnsi="Arial" w:cs="Arial"/>
          <w:sz w:val="20"/>
          <w:szCs w:val="20"/>
        </w:rPr>
        <w:t xml:space="preserve">). </w:t>
      </w:r>
    </w:p>
    <w:p w:rsidR="00C501A4" w:rsidRPr="00330B5B" w:rsidRDefault="00A6132B" w:rsidP="00A6132B">
      <w:pPr>
        <w:pStyle w:val="newsContent"/>
      </w:pPr>
      <w:r>
        <w:rPr>
          <w:rFonts w:cs="Arial"/>
          <w:szCs w:val="20"/>
        </w:rPr>
        <w:t>În această nouă analiză</w:t>
      </w:r>
      <w:r w:rsidRPr="006D533B">
        <w:rPr>
          <w:rFonts w:cs="Arial"/>
          <w:szCs w:val="20"/>
        </w:rPr>
        <w:t xml:space="preserve">, </w:t>
      </w:r>
      <w:r w:rsidRPr="006D533B">
        <w:rPr>
          <w:rFonts w:cs="Arial"/>
          <w:b/>
          <w:szCs w:val="20"/>
        </w:rPr>
        <w:t xml:space="preserve">EMCDDA </w:t>
      </w:r>
      <w:r>
        <w:rPr>
          <w:rFonts w:cs="Arial"/>
          <w:szCs w:val="20"/>
        </w:rPr>
        <w:t>are în vedere provocările actuale în ceea ce priveşte răspunsurile în materie de asistenţă socială şi de sănătate în legătură cu acest drog</w:t>
      </w:r>
      <w:r w:rsidRPr="006D533B">
        <w:rPr>
          <w:rFonts w:cs="Arial"/>
          <w:szCs w:val="20"/>
        </w:rPr>
        <w:t xml:space="preserve">. </w:t>
      </w:r>
      <w:r>
        <w:rPr>
          <w:rFonts w:cs="Arial"/>
          <w:szCs w:val="20"/>
        </w:rPr>
        <w:t>Deşi nu există medicamente aprobate pentru tratamentul dependenţei de metamfetamină, intervenţiile psihosociale s-au dovedit eficace</w:t>
      </w:r>
      <w:r w:rsidRPr="006D533B">
        <w:rPr>
          <w:rFonts w:cs="Arial"/>
          <w:szCs w:val="20"/>
        </w:rPr>
        <w:t xml:space="preserve">. </w:t>
      </w:r>
      <w:r>
        <w:rPr>
          <w:rFonts w:cs="Arial"/>
          <w:szCs w:val="20"/>
        </w:rPr>
        <w:t xml:space="preserve">Potrivit agenţiei, „problema actuală a Europei în ceea ce priveşte metamfetamina nu are o singură faţetă, iar răspunsurile adecvate trebuie adaptate, dezvoltate şi potrivite pe măsura </w:t>
      </w:r>
      <w:r w:rsidR="0067286B">
        <w:rPr>
          <w:rFonts w:cs="Arial"/>
          <w:szCs w:val="20"/>
        </w:rPr>
        <w:t>modelelor</w:t>
      </w:r>
      <w:r>
        <w:rPr>
          <w:rFonts w:cs="Arial"/>
          <w:szCs w:val="20"/>
        </w:rPr>
        <w:t xml:space="preserve"> locale de consum şi a problemelor observate”</w:t>
      </w:r>
      <w:r w:rsidRPr="006D533B">
        <w:rPr>
          <w:rFonts w:cs="Arial"/>
          <w:szCs w:val="20"/>
        </w:rPr>
        <w:t>.</w:t>
      </w:r>
    </w:p>
    <w:p w:rsidR="00A6132B" w:rsidRDefault="00A6132B" w:rsidP="00C501A4">
      <w:pPr>
        <w:pStyle w:val="newsContent"/>
      </w:pPr>
      <w:r>
        <w:rPr>
          <w:rFonts w:cs="Arial"/>
          <w:b/>
          <w:szCs w:val="20"/>
        </w:rPr>
        <w:t>Analiza progreselor privind medicamentele pentru tratamentul dependenţei de cocaină</w:t>
      </w:r>
    </w:p>
    <w:p w:rsidR="00C501A4" w:rsidRDefault="00A6132B" w:rsidP="00865406">
      <w:pPr>
        <w:pStyle w:val="newsContent"/>
      </w:pPr>
      <w:r w:rsidRPr="006D533B">
        <w:rPr>
          <w:rFonts w:cs="Arial"/>
          <w:szCs w:val="20"/>
        </w:rPr>
        <w:t xml:space="preserve">Cocaine </w:t>
      </w:r>
      <w:r>
        <w:rPr>
          <w:rFonts w:cs="Arial"/>
          <w:szCs w:val="20"/>
        </w:rPr>
        <w:t xml:space="preserve">rămâne cel mai frecvent </w:t>
      </w:r>
      <w:r w:rsidR="004C1F92">
        <w:rPr>
          <w:rFonts w:cs="Arial"/>
          <w:szCs w:val="20"/>
        </w:rPr>
        <w:t xml:space="preserve">drog stimulent ilegal </w:t>
      </w:r>
      <w:r>
        <w:rPr>
          <w:rFonts w:cs="Arial"/>
          <w:szCs w:val="20"/>
        </w:rPr>
        <w:t>consumat în Europa, iar provocările în ceea ce priveşte tratamentul dependenţei de cocaină persistă</w:t>
      </w:r>
      <w:r w:rsidRPr="006D533B">
        <w:rPr>
          <w:rFonts w:cs="Arial"/>
          <w:szCs w:val="20"/>
        </w:rPr>
        <w:t xml:space="preserve">. </w:t>
      </w:r>
      <w:r>
        <w:rPr>
          <w:rFonts w:cs="Arial"/>
          <w:szCs w:val="20"/>
        </w:rPr>
        <w:t xml:space="preserve">În </w:t>
      </w:r>
      <w:r w:rsidRPr="006D533B">
        <w:rPr>
          <w:rFonts w:cs="Arial"/>
          <w:szCs w:val="20"/>
        </w:rPr>
        <w:t xml:space="preserve">2012, 14% </w:t>
      </w:r>
      <w:r>
        <w:rPr>
          <w:rFonts w:cs="Arial"/>
          <w:szCs w:val="20"/>
        </w:rPr>
        <w:t xml:space="preserve">din consumatorii care au început pentru prima dată un tratament specializat </w:t>
      </w:r>
      <w:r w:rsidR="00865406">
        <w:rPr>
          <w:rFonts w:cs="Arial"/>
          <w:szCs w:val="20"/>
        </w:rPr>
        <w:t>pentru consumul de droguri</w:t>
      </w:r>
      <w:r>
        <w:rPr>
          <w:rFonts w:cs="Arial"/>
          <w:szCs w:val="20"/>
        </w:rPr>
        <w:t xml:space="preserve"> au afirmat că substanţa primară consumată este cocaina</w:t>
      </w:r>
      <w:r w:rsidRPr="006D533B">
        <w:rPr>
          <w:rFonts w:cs="Arial"/>
          <w:szCs w:val="20"/>
        </w:rPr>
        <w:t xml:space="preserve">. </w:t>
      </w:r>
      <w:r w:rsidRPr="006D533B">
        <w:rPr>
          <w:rFonts w:cs="Arial"/>
          <w:b/>
          <w:szCs w:val="20"/>
        </w:rPr>
        <w:t>EMCDDA</w:t>
      </w:r>
      <w:r w:rsidR="002218EB">
        <w:rPr>
          <w:rFonts w:cs="Arial"/>
          <w:b/>
          <w:szCs w:val="20"/>
        </w:rPr>
        <w:t xml:space="preserve"> </w:t>
      </w:r>
      <w:r>
        <w:rPr>
          <w:rFonts w:cs="Arial"/>
          <w:szCs w:val="20"/>
        </w:rPr>
        <w:t>prezintă astăzi o metaanaliză</w:t>
      </w:r>
      <w:r w:rsidR="002218EB">
        <w:rPr>
          <w:rFonts w:cs="Arial"/>
          <w:szCs w:val="20"/>
        </w:rPr>
        <w:t xml:space="preserve"> </w:t>
      </w:r>
      <w:r w:rsidR="00567B17">
        <w:rPr>
          <w:rFonts w:cs="Arial"/>
          <w:szCs w:val="20"/>
        </w:rPr>
        <w:t>a</w:t>
      </w:r>
      <w:r w:rsidR="002218EB">
        <w:rPr>
          <w:rFonts w:cs="Arial"/>
          <w:szCs w:val="20"/>
        </w:rPr>
        <w:t xml:space="preserve"> </w:t>
      </w:r>
      <w:r w:rsidR="00567B17">
        <w:rPr>
          <w:rFonts w:cs="Arial"/>
          <w:szCs w:val="20"/>
        </w:rPr>
        <w:t>6</w:t>
      </w:r>
      <w:r>
        <w:rPr>
          <w:rFonts w:cs="Arial"/>
          <w:szCs w:val="20"/>
        </w:rPr>
        <w:t xml:space="preserve"> lucrări care examinează eficacitatea medicamentelor utilizate în tratamentul problemelor legate de cocaină, precum şi acceptarea </w:t>
      </w:r>
      <w:r w:rsidR="00567B17">
        <w:rPr>
          <w:rFonts w:cs="Arial"/>
          <w:szCs w:val="20"/>
        </w:rPr>
        <w:t>lor</w:t>
      </w:r>
      <w:r>
        <w:rPr>
          <w:rFonts w:cs="Arial"/>
          <w:szCs w:val="20"/>
        </w:rPr>
        <w:t xml:space="preserve"> de consumatori</w:t>
      </w:r>
      <w:r w:rsidRPr="006D533B">
        <w:rPr>
          <w:rFonts w:cs="Arial"/>
          <w:szCs w:val="20"/>
        </w:rPr>
        <w:t>.</w:t>
      </w:r>
      <w:r>
        <w:rPr>
          <w:rFonts w:cs="Arial"/>
          <w:szCs w:val="20"/>
        </w:rPr>
        <w:t xml:space="preserve"> Lucrările iniţiale, elaborate de </w:t>
      </w:r>
      <w:r w:rsidRPr="001642DE">
        <w:rPr>
          <w:rFonts w:cs="Arial"/>
          <w:i/>
          <w:szCs w:val="20"/>
        </w:rPr>
        <w:t>Cochrane Drugs</w:t>
      </w:r>
      <w:r w:rsidR="002218EB" w:rsidRPr="001642DE">
        <w:rPr>
          <w:rFonts w:cs="Arial"/>
          <w:i/>
          <w:szCs w:val="20"/>
        </w:rPr>
        <w:t xml:space="preserve"> </w:t>
      </w:r>
      <w:r w:rsidRPr="001642DE">
        <w:rPr>
          <w:rFonts w:cs="Arial"/>
          <w:i/>
          <w:szCs w:val="20"/>
        </w:rPr>
        <w:t>and</w:t>
      </w:r>
      <w:r w:rsidR="002218EB" w:rsidRPr="001642DE">
        <w:rPr>
          <w:rFonts w:cs="Arial"/>
          <w:i/>
          <w:szCs w:val="20"/>
        </w:rPr>
        <w:t xml:space="preserve"> </w:t>
      </w:r>
      <w:r w:rsidRPr="001642DE">
        <w:rPr>
          <w:rFonts w:cs="Arial"/>
          <w:i/>
          <w:szCs w:val="20"/>
        </w:rPr>
        <w:t>Alcohol</w:t>
      </w:r>
      <w:r w:rsidR="001642DE" w:rsidRPr="001642DE">
        <w:rPr>
          <w:rFonts w:cs="Arial"/>
          <w:i/>
          <w:szCs w:val="20"/>
        </w:rPr>
        <w:t xml:space="preserve"> Group</w:t>
      </w:r>
      <w:r w:rsidRPr="006D533B">
        <w:rPr>
          <w:rFonts w:cs="Arial"/>
          <w:szCs w:val="20"/>
        </w:rPr>
        <w:t xml:space="preserve">, </w:t>
      </w:r>
      <w:r>
        <w:rPr>
          <w:rFonts w:cs="Arial"/>
          <w:szCs w:val="20"/>
        </w:rPr>
        <w:t xml:space="preserve">au </w:t>
      </w:r>
      <w:r w:rsidR="00567B17">
        <w:rPr>
          <w:rFonts w:cs="Arial"/>
          <w:szCs w:val="20"/>
        </w:rPr>
        <w:t>cuprins</w:t>
      </w:r>
      <w:r w:rsidRPr="006D533B">
        <w:rPr>
          <w:rFonts w:cs="Arial"/>
          <w:szCs w:val="20"/>
        </w:rPr>
        <w:t xml:space="preserve"> 92 </w:t>
      </w:r>
      <w:r>
        <w:rPr>
          <w:rFonts w:cs="Arial"/>
          <w:szCs w:val="20"/>
        </w:rPr>
        <w:t xml:space="preserve">de studii </w:t>
      </w:r>
      <w:r w:rsidRPr="006D533B">
        <w:rPr>
          <w:rFonts w:cs="Arial"/>
          <w:szCs w:val="20"/>
        </w:rPr>
        <w:t xml:space="preserve">(85 </w:t>
      </w:r>
      <w:r>
        <w:rPr>
          <w:rFonts w:cs="Arial"/>
          <w:szCs w:val="20"/>
        </w:rPr>
        <w:t>în SUA</w:t>
      </w:r>
      <w:r w:rsidRPr="006D533B">
        <w:rPr>
          <w:rFonts w:cs="Arial"/>
          <w:szCs w:val="20"/>
        </w:rPr>
        <w:t xml:space="preserve">) </w:t>
      </w:r>
      <w:r>
        <w:rPr>
          <w:rFonts w:cs="Arial"/>
          <w:szCs w:val="20"/>
        </w:rPr>
        <w:t xml:space="preserve">şi peste </w:t>
      </w:r>
      <w:r w:rsidRPr="006D533B">
        <w:rPr>
          <w:rFonts w:cs="Arial"/>
          <w:szCs w:val="20"/>
        </w:rPr>
        <w:t>7</w:t>
      </w:r>
      <w:r>
        <w:rPr>
          <w:rFonts w:cs="Arial"/>
          <w:szCs w:val="20"/>
        </w:rPr>
        <w:t> </w:t>
      </w:r>
      <w:r w:rsidRPr="006D533B">
        <w:rPr>
          <w:rFonts w:cs="Arial"/>
          <w:szCs w:val="20"/>
        </w:rPr>
        <w:t xml:space="preserve">000 </w:t>
      </w:r>
      <w:r>
        <w:rPr>
          <w:rFonts w:cs="Arial"/>
          <w:szCs w:val="20"/>
        </w:rPr>
        <w:t>de participanţi</w:t>
      </w:r>
      <w:r w:rsidRPr="006D533B">
        <w:rPr>
          <w:rFonts w:cs="Arial"/>
          <w:szCs w:val="20"/>
        </w:rPr>
        <w:t xml:space="preserve">. </w:t>
      </w:r>
      <w:r>
        <w:rPr>
          <w:rFonts w:cs="Arial"/>
          <w:szCs w:val="20"/>
        </w:rPr>
        <w:t>Acestea arată că unele medicamente pot reduce dorinţa de consum, însă nu s-a descoperit încă nicio soluţie farmacologică unică pentru dependenţa de cocaină</w:t>
      </w:r>
      <w:r w:rsidRPr="006D533B">
        <w:rPr>
          <w:rFonts w:cs="Arial"/>
          <w:szCs w:val="20"/>
        </w:rPr>
        <w:t xml:space="preserve">. </w:t>
      </w:r>
      <w:r>
        <w:rPr>
          <w:rFonts w:cs="Arial"/>
          <w:szCs w:val="20"/>
        </w:rPr>
        <w:t xml:space="preserve">Pe măsură ce cercetările în acest domeniu avansează, intervenţiile psihosociale rămân un element de bază în tratamentul consumatorilor de cocaină </w:t>
      </w:r>
      <w:r w:rsidRPr="006D533B">
        <w:rPr>
          <w:rFonts w:cs="Arial"/>
          <w:szCs w:val="20"/>
        </w:rPr>
        <w:t>(</w:t>
      </w:r>
      <w:r w:rsidR="0067286B">
        <w:rPr>
          <w:rFonts w:cs="Arial"/>
          <w:szCs w:val="20"/>
        </w:rPr>
        <w:t>a se vedea</w:t>
      </w:r>
      <w:r>
        <w:rPr>
          <w:rFonts w:cs="Arial"/>
          <w:szCs w:val="20"/>
        </w:rPr>
        <w:t xml:space="preserve"> materialul </w:t>
      </w:r>
      <w:r w:rsidRPr="006D533B">
        <w:rPr>
          <w:rFonts w:cs="Arial"/>
          <w:szCs w:val="20"/>
        </w:rPr>
        <w:t>video).</w:t>
      </w:r>
    </w:p>
    <w:p w:rsidR="00A6132B" w:rsidRPr="00330B5B" w:rsidRDefault="00A6132B" w:rsidP="004C1F92">
      <w:pPr>
        <w:pStyle w:val="newsContent"/>
      </w:pPr>
      <w:r>
        <w:rPr>
          <w:rFonts w:cs="Arial"/>
          <w:b/>
          <w:szCs w:val="20"/>
        </w:rPr>
        <w:t>Producţia internă de plante de canabis</w:t>
      </w:r>
      <w:r w:rsidR="004C1F92">
        <w:rPr>
          <w:rFonts w:cs="Arial"/>
          <w:b/>
          <w:szCs w:val="20"/>
        </w:rPr>
        <w:t xml:space="preserve"> reprezintă</w:t>
      </w:r>
      <w:r w:rsidR="003371AC">
        <w:rPr>
          <w:rFonts w:cs="Arial"/>
          <w:b/>
          <w:szCs w:val="20"/>
        </w:rPr>
        <w:t xml:space="preserve"> </w:t>
      </w:r>
      <w:r>
        <w:rPr>
          <w:rFonts w:cs="Arial"/>
          <w:b/>
          <w:szCs w:val="20"/>
        </w:rPr>
        <w:t>o sursă importantă</w:t>
      </w:r>
      <w:r w:rsidR="004C1F92">
        <w:rPr>
          <w:rFonts w:cs="Arial"/>
          <w:b/>
          <w:szCs w:val="20"/>
        </w:rPr>
        <w:t>, în timp ce</w:t>
      </w:r>
      <w:r w:rsidR="003371AC">
        <w:rPr>
          <w:rFonts w:cs="Arial"/>
          <w:b/>
          <w:szCs w:val="20"/>
        </w:rPr>
        <w:t xml:space="preserve"> </w:t>
      </w:r>
      <w:r w:rsidR="004C1F92">
        <w:rPr>
          <w:rFonts w:cs="Arial"/>
          <w:b/>
          <w:szCs w:val="20"/>
        </w:rPr>
        <w:t>puritatea răşinii importate creşte</w:t>
      </w:r>
    </w:p>
    <w:p w:rsidR="00A6132B" w:rsidRPr="006D533B" w:rsidRDefault="00A6132B" w:rsidP="00A6132B">
      <w:pPr>
        <w:autoSpaceDE w:val="0"/>
        <w:autoSpaceDN w:val="0"/>
        <w:adjustRightInd w:val="0"/>
        <w:spacing w:after="260" w:line="260" w:lineRule="exact"/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rFonts w:ascii="Arial" w:hAnsi="Arial" w:cs="Arial"/>
          <w:bCs/>
          <w:sz w:val="20"/>
          <w:szCs w:val="20"/>
        </w:rPr>
        <w:t xml:space="preserve">Europa reprezintă de mult timp una din cele mai mari pieţe de consum pentru canabis, în special răşină de canabis importată în principal din </w:t>
      </w:r>
      <w:r>
        <w:rPr>
          <w:rFonts w:ascii="Arial" w:hAnsi="Arial" w:cs="Arial"/>
          <w:b/>
          <w:bCs/>
          <w:sz w:val="20"/>
          <w:szCs w:val="20"/>
        </w:rPr>
        <w:t>Maroc</w:t>
      </w:r>
      <w:r w:rsidRPr="006D533B">
        <w:rPr>
          <w:rFonts w:ascii="Arial" w:hAnsi="Arial" w:cs="Arial"/>
          <w:bCs/>
          <w:sz w:val="20"/>
          <w:szCs w:val="20"/>
        </w:rPr>
        <w:t xml:space="preserve">. </w:t>
      </w:r>
      <w:r>
        <w:rPr>
          <w:rFonts w:ascii="Arial" w:hAnsi="Arial" w:cs="Arial"/>
          <w:bCs/>
          <w:sz w:val="20"/>
          <w:szCs w:val="20"/>
        </w:rPr>
        <w:t xml:space="preserve">Se estimează că în Europa se consumă anual aproximativ </w:t>
      </w:r>
      <w:r w:rsidRPr="006D533B">
        <w:rPr>
          <w:rFonts w:ascii="Arial" w:hAnsi="Arial" w:cs="Arial"/>
          <w:bCs/>
          <w:sz w:val="20"/>
          <w:szCs w:val="20"/>
        </w:rPr>
        <w:t>2</w:t>
      </w:r>
      <w:r>
        <w:rPr>
          <w:rFonts w:ascii="Arial" w:hAnsi="Arial" w:cs="Arial"/>
          <w:bCs/>
          <w:sz w:val="20"/>
          <w:szCs w:val="20"/>
        </w:rPr>
        <w:t> </w:t>
      </w:r>
      <w:r w:rsidRPr="006D533B">
        <w:rPr>
          <w:rFonts w:ascii="Arial" w:hAnsi="Arial" w:cs="Arial"/>
          <w:bCs/>
          <w:sz w:val="20"/>
          <w:szCs w:val="20"/>
        </w:rPr>
        <w:t xml:space="preserve">050 </w:t>
      </w:r>
      <w:r>
        <w:rPr>
          <w:rFonts w:ascii="Arial" w:hAnsi="Arial" w:cs="Arial"/>
          <w:bCs/>
          <w:sz w:val="20"/>
          <w:szCs w:val="20"/>
        </w:rPr>
        <w:t xml:space="preserve">de tone de răşină de canabis </w:t>
      </w:r>
      <w:r w:rsidRPr="006D533B">
        <w:rPr>
          <w:rFonts w:ascii="Arial" w:hAnsi="Arial" w:cs="Arial"/>
          <w:bCs/>
          <w:sz w:val="20"/>
          <w:szCs w:val="20"/>
        </w:rPr>
        <w:t>(</w:t>
      </w:r>
      <w:r>
        <w:rPr>
          <w:rFonts w:ascii="Arial" w:hAnsi="Arial" w:cs="Arial"/>
          <w:bCs/>
          <w:sz w:val="20"/>
          <w:szCs w:val="20"/>
        </w:rPr>
        <w:t>„haşiş”</w:t>
      </w:r>
      <w:r w:rsidRPr="006D533B">
        <w:rPr>
          <w:rFonts w:ascii="Arial" w:hAnsi="Arial" w:cs="Arial"/>
          <w:bCs/>
          <w:sz w:val="20"/>
          <w:szCs w:val="20"/>
        </w:rPr>
        <w:t xml:space="preserve">) </w:t>
      </w:r>
      <w:r>
        <w:rPr>
          <w:rFonts w:ascii="Arial" w:hAnsi="Arial" w:cs="Arial"/>
          <w:bCs/>
          <w:sz w:val="20"/>
          <w:szCs w:val="20"/>
        </w:rPr>
        <w:t>şi plantă de canabis („marijuana”</w:t>
      </w:r>
      <w:r w:rsidRPr="006D533B">
        <w:rPr>
          <w:rFonts w:ascii="Arial" w:hAnsi="Arial" w:cs="Arial"/>
          <w:bCs/>
          <w:sz w:val="20"/>
          <w:szCs w:val="20"/>
        </w:rPr>
        <w:t xml:space="preserve">). </w:t>
      </w:r>
      <w:r>
        <w:rPr>
          <w:rFonts w:ascii="Arial" w:hAnsi="Arial" w:cs="Arial"/>
          <w:bCs/>
          <w:sz w:val="20"/>
          <w:szCs w:val="20"/>
        </w:rPr>
        <w:t xml:space="preserve">Astăzi, </w:t>
      </w:r>
      <w:r w:rsidRPr="006D533B">
        <w:rPr>
          <w:rFonts w:ascii="Arial" w:hAnsi="Arial" w:cs="Arial"/>
          <w:b/>
          <w:bCs/>
          <w:sz w:val="20"/>
          <w:szCs w:val="20"/>
        </w:rPr>
        <w:t xml:space="preserve">EMCDDA </w:t>
      </w:r>
      <w:r>
        <w:rPr>
          <w:rFonts w:ascii="Arial" w:hAnsi="Arial" w:cs="Arial"/>
          <w:bCs/>
          <w:sz w:val="20"/>
          <w:szCs w:val="20"/>
        </w:rPr>
        <w:t xml:space="preserve">prezintă un raport potrivit căruia piaţa europeană a consumului de canabis este dominată de produsele din plante, consumul intern fiind </w:t>
      </w:r>
      <w:r w:rsidR="0067286B">
        <w:rPr>
          <w:rFonts w:ascii="Arial" w:hAnsi="Arial" w:cs="Arial"/>
          <w:bCs/>
          <w:sz w:val="20"/>
          <w:szCs w:val="20"/>
        </w:rPr>
        <w:t>acoperit din</w:t>
      </w:r>
      <w:r>
        <w:rPr>
          <w:rFonts w:ascii="Arial" w:hAnsi="Arial" w:cs="Arial"/>
          <w:bCs/>
          <w:sz w:val="20"/>
          <w:szCs w:val="20"/>
        </w:rPr>
        <w:t xml:space="preserve"> producţi</w:t>
      </w:r>
      <w:r w:rsidR="0067286B">
        <w:rPr>
          <w:rFonts w:ascii="Arial" w:hAnsi="Arial" w:cs="Arial"/>
          <w:bCs/>
          <w:sz w:val="20"/>
          <w:szCs w:val="20"/>
        </w:rPr>
        <w:t>e</w:t>
      </w:r>
      <w:r>
        <w:rPr>
          <w:rFonts w:ascii="Arial" w:hAnsi="Arial" w:cs="Arial"/>
          <w:bCs/>
          <w:sz w:val="20"/>
          <w:szCs w:val="20"/>
        </w:rPr>
        <w:t xml:space="preserve"> internă</w:t>
      </w:r>
      <w:r w:rsidRPr="006D533B">
        <w:rPr>
          <w:rFonts w:ascii="Arial" w:eastAsia="Times New Roman" w:hAnsi="Arial" w:cs="Arial"/>
          <w:sz w:val="20"/>
          <w:szCs w:val="20"/>
          <w:lang w:eastAsia="en-GB"/>
        </w:rPr>
        <w:t xml:space="preserve">. </w:t>
      </w:r>
      <w:r>
        <w:rPr>
          <w:rFonts w:ascii="Arial" w:eastAsia="Times New Roman" w:hAnsi="Arial" w:cs="Arial"/>
          <w:sz w:val="20"/>
          <w:szCs w:val="20"/>
          <w:lang w:eastAsia="en-GB"/>
        </w:rPr>
        <w:t>Pe teritoriul Europei se descoperă din ce în ce mai multe plantaţii de canabis</w:t>
      </w:r>
      <w:r w:rsidRPr="006D533B">
        <w:rPr>
          <w:rFonts w:ascii="Arial" w:eastAsia="Times New Roman" w:hAnsi="Arial" w:cs="Arial"/>
          <w:sz w:val="20"/>
          <w:szCs w:val="20"/>
          <w:lang w:eastAsia="en-GB"/>
        </w:rPr>
        <w:t>.</w:t>
      </w:r>
    </w:p>
    <w:p w:rsidR="00C501A4" w:rsidRPr="00330B5B" w:rsidRDefault="00A6132B" w:rsidP="002C5771">
      <w:pPr>
        <w:pStyle w:val="newsContent"/>
      </w:pPr>
      <w:r>
        <w:rPr>
          <w:rFonts w:cs="Arial"/>
          <w:bCs/>
          <w:szCs w:val="20"/>
        </w:rPr>
        <w:t>În ultimul deceniu, numărul capturilor de plante de canabis în Europa l-a depăşit pe cel al capturilor de răşină</w:t>
      </w:r>
      <w:r w:rsidRPr="006D533B">
        <w:rPr>
          <w:rFonts w:cs="Arial"/>
          <w:szCs w:val="20"/>
        </w:rPr>
        <w:t xml:space="preserve">. </w:t>
      </w:r>
      <w:r>
        <w:rPr>
          <w:rFonts w:cs="Arial"/>
          <w:szCs w:val="20"/>
        </w:rPr>
        <w:t xml:space="preserve">În 2012 au fost raportate aproximativ </w:t>
      </w:r>
      <w:r w:rsidRPr="006D533B">
        <w:rPr>
          <w:rFonts w:cs="Arial"/>
          <w:szCs w:val="20"/>
        </w:rPr>
        <w:t>457</w:t>
      </w:r>
      <w:r>
        <w:rPr>
          <w:rFonts w:cs="Arial"/>
          <w:szCs w:val="20"/>
        </w:rPr>
        <w:t> </w:t>
      </w:r>
      <w:r w:rsidRPr="006D533B">
        <w:rPr>
          <w:rFonts w:cs="Arial"/>
          <w:szCs w:val="20"/>
        </w:rPr>
        <w:t xml:space="preserve">000 </w:t>
      </w:r>
      <w:r>
        <w:rPr>
          <w:rFonts w:cs="Arial"/>
          <w:szCs w:val="20"/>
        </w:rPr>
        <w:t>de capturi de plante de canabis, comparativ cu </w:t>
      </w:r>
      <w:r w:rsidRPr="006D533B">
        <w:rPr>
          <w:rFonts w:cs="Arial"/>
          <w:szCs w:val="20"/>
        </w:rPr>
        <w:t>258</w:t>
      </w:r>
      <w:r>
        <w:rPr>
          <w:rFonts w:cs="Arial"/>
          <w:szCs w:val="20"/>
        </w:rPr>
        <w:t> </w:t>
      </w:r>
      <w:r w:rsidRPr="006D533B">
        <w:rPr>
          <w:rFonts w:cs="Arial"/>
          <w:szCs w:val="20"/>
        </w:rPr>
        <w:t xml:space="preserve">000 </w:t>
      </w:r>
      <w:r>
        <w:rPr>
          <w:rFonts w:cs="Arial"/>
          <w:szCs w:val="20"/>
        </w:rPr>
        <w:t>de capturi de răşină</w:t>
      </w:r>
      <w:r w:rsidRPr="006D533B">
        <w:rPr>
          <w:rFonts w:cs="Arial"/>
          <w:szCs w:val="20"/>
        </w:rPr>
        <w:t xml:space="preserve">. </w:t>
      </w:r>
      <w:r>
        <w:rPr>
          <w:rFonts w:cs="Arial"/>
          <w:szCs w:val="20"/>
        </w:rPr>
        <w:t xml:space="preserve">Aproximativ şapte milioane de plante de canabis au fost capturate în </w:t>
      </w:r>
      <w:r w:rsidRPr="006D533B">
        <w:rPr>
          <w:rFonts w:cs="Arial"/>
          <w:szCs w:val="20"/>
        </w:rPr>
        <w:t xml:space="preserve">2012, </w:t>
      </w:r>
      <w:r>
        <w:rPr>
          <w:rFonts w:cs="Arial"/>
          <w:szCs w:val="20"/>
        </w:rPr>
        <w:t xml:space="preserve">de peste </w:t>
      </w:r>
      <w:r w:rsidRPr="006D533B">
        <w:rPr>
          <w:rFonts w:cs="Arial"/>
          <w:szCs w:val="20"/>
        </w:rPr>
        <w:t>2</w:t>
      </w:r>
      <w:r>
        <w:rPr>
          <w:rFonts w:cs="Arial"/>
          <w:szCs w:val="20"/>
        </w:rPr>
        <w:t>,</w:t>
      </w:r>
      <w:r w:rsidRPr="006D533B">
        <w:rPr>
          <w:rFonts w:cs="Arial"/>
          <w:szCs w:val="20"/>
        </w:rPr>
        <w:t xml:space="preserve">5 </w:t>
      </w:r>
      <w:r>
        <w:rPr>
          <w:rFonts w:cs="Arial"/>
          <w:szCs w:val="20"/>
        </w:rPr>
        <w:t>ori mai mult decât cantitatea raportată cu cinci ani în urmă</w:t>
      </w:r>
      <w:r w:rsidRPr="006D533B">
        <w:rPr>
          <w:rFonts w:cs="Arial"/>
          <w:szCs w:val="20"/>
        </w:rPr>
        <w:t xml:space="preserve">. </w:t>
      </w:r>
      <w:r>
        <w:rPr>
          <w:rFonts w:cs="Arial"/>
          <w:szCs w:val="20"/>
        </w:rPr>
        <w:t xml:space="preserve">Inovările în materie de producţie de canabis din ultimii ani reprezintă un motiv de </w:t>
      </w:r>
      <w:r w:rsidR="002C5771">
        <w:rPr>
          <w:rFonts w:cs="Arial"/>
          <w:szCs w:val="20"/>
        </w:rPr>
        <w:t>îngrijorare</w:t>
      </w:r>
      <w:r w:rsidR="003371AC">
        <w:rPr>
          <w:rFonts w:cs="Arial"/>
          <w:szCs w:val="20"/>
        </w:rPr>
        <w:t xml:space="preserve"> </w:t>
      </w:r>
      <w:r w:rsidRPr="006D533B">
        <w:rPr>
          <w:rFonts w:cs="Arial"/>
          <w:szCs w:val="20"/>
        </w:rPr>
        <w:t>(</w:t>
      </w:r>
      <w:r w:rsidR="0067286B">
        <w:rPr>
          <w:rFonts w:cs="Arial"/>
          <w:szCs w:val="20"/>
        </w:rPr>
        <w:t>a se vedea</w:t>
      </w:r>
      <w:r>
        <w:rPr>
          <w:rFonts w:cs="Arial"/>
          <w:szCs w:val="20"/>
        </w:rPr>
        <w:t xml:space="preserve"> materialul </w:t>
      </w:r>
      <w:r w:rsidRPr="006D533B">
        <w:rPr>
          <w:rFonts w:cs="Arial"/>
          <w:szCs w:val="20"/>
        </w:rPr>
        <w:t xml:space="preserve">video), </w:t>
      </w:r>
      <w:r>
        <w:rPr>
          <w:rFonts w:cs="Arial"/>
          <w:szCs w:val="20"/>
        </w:rPr>
        <w:t xml:space="preserve">cultivatorii producând plante cu un conţinut ridicat de </w:t>
      </w:r>
      <w:r w:rsidRPr="006D533B">
        <w:rPr>
          <w:rFonts w:cs="Arial"/>
          <w:szCs w:val="20"/>
        </w:rPr>
        <w:t>THC (</w:t>
      </w:r>
      <w:r>
        <w:rPr>
          <w:rFonts w:cs="Arial"/>
          <w:szCs w:val="20"/>
        </w:rPr>
        <w:t>ingredientul activ al canabisului</w:t>
      </w:r>
      <w:r w:rsidRPr="006D533B">
        <w:rPr>
          <w:rFonts w:cs="Arial"/>
          <w:szCs w:val="20"/>
        </w:rPr>
        <w:t>)</w:t>
      </w:r>
      <w:r>
        <w:rPr>
          <w:rFonts w:cs="Arial"/>
          <w:szCs w:val="20"/>
        </w:rPr>
        <w:t>, dar</w:t>
      </w:r>
      <w:r w:rsidR="004C1F92">
        <w:rPr>
          <w:rFonts w:cs="Arial"/>
          <w:szCs w:val="20"/>
        </w:rPr>
        <w:t xml:space="preserve"> cu</w:t>
      </w:r>
      <w:r>
        <w:rPr>
          <w:rFonts w:cs="Arial"/>
          <w:szCs w:val="20"/>
        </w:rPr>
        <w:t xml:space="preserve"> un conţinut scăzut de </w:t>
      </w:r>
      <w:r w:rsidRPr="006D533B">
        <w:rPr>
          <w:rFonts w:cs="Arial"/>
          <w:szCs w:val="20"/>
        </w:rPr>
        <w:t>CBD (</w:t>
      </w:r>
      <w:r>
        <w:rPr>
          <w:rFonts w:cs="Arial"/>
          <w:szCs w:val="20"/>
        </w:rPr>
        <w:t xml:space="preserve">un </w:t>
      </w:r>
      <w:r w:rsidRPr="006D533B">
        <w:rPr>
          <w:rFonts w:cs="Arial"/>
          <w:szCs w:val="20"/>
        </w:rPr>
        <w:t>anti</w:t>
      </w:r>
      <w:r>
        <w:rPr>
          <w:rFonts w:cs="Arial"/>
          <w:szCs w:val="20"/>
        </w:rPr>
        <w:t>psi</w:t>
      </w:r>
      <w:r w:rsidRPr="006D533B">
        <w:rPr>
          <w:rFonts w:cs="Arial"/>
          <w:szCs w:val="20"/>
        </w:rPr>
        <w:t xml:space="preserve">hotic). </w:t>
      </w:r>
      <w:r>
        <w:rPr>
          <w:rFonts w:cs="Arial"/>
          <w:szCs w:val="20"/>
        </w:rPr>
        <w:t xml:space="preserve">Deşi puritatea ambelor forme de canabis a crescut din </w:t>
      </w:r>
      <w:r w:rsidRPr="006D533B">
        <w:rPr>
          <w:rFonts w:cs="Arial"/>
          <w:szCs w:val="20"/>
        </w:rPr>
        <w:t xml:space="preserve">2006, </w:t>
      </w:r>
      <w:r>
        <w:rPr>
          <w:rFonts w:cs="Arial"/>
          <w:szCs w:val="20"/>
        </w:rPr>
        <w:t xml:space="preserve">au fost observate creşteri </w:t>
      </w:r>
      <w:r w:rsidR="002C5771">
        <w:rPr>
          <w:rFonts w:cs="Arial"/>
          <w:szCs w:val="20"/>
        </w:rPr>
        <w:t xml:space="preserve">relativ puternice </w:t>
      </w:r>
      <w:r>
        <w:rPr>
          <w:rFonts w:cs="Arial"/>
          <w:szCs w:val="20"/>
        </w:rPr>
        <w:t xml:space="preserve">ale purităţii răşinii între anii </w:t>
      </w:r>
      <w:r w:rsidRPr="006D533B">
        <w:rPr>
          <w:rFonts w:cs="Arial"/>
          <w:szCs w:val="20"/>
        </w:rPr>
        <w:t xml:space="preserve">2011 </w:t>
      </w:r>
      <w:r>
        <w:rPr>
          <w:rFonts w:cs="Arial"/>
          <w:szCs w:val="20"/>
        </w:rPr>
        <w:t xml:space="preserve">şi </w:t>
      </w:r>
      <w:r w:rsidRPr="006D533B">
        <w:rPr>
          <w:rFonts w:cs="Arial"/>
          <w:szCs w:val="20"/>
        </w:rPr>
        <w:t>2012 (</w:t>
      </w:r>
      <w:r w:rsidR="0067286B">
        <w:rPr>
          <w:rFonts w:cs="Arial"/>
          <w:szCs w:val="20"/>
        </w:rPr>
        <w:t>a se vedea</w:t>
      </w:r>
      <w:r>
        <w:rPr>
          <w:rFonts w:cs="Arial"/>
          <w:szCs w:val="20"/>
        </w:rPr>
        <w:t xml:space="preserve"> materialele grafice informative </w:t>
      </w:r>
      <w:r w:rsidR="0067286B">
        <w:rPr>
          <w:rFonts w:cs="Arial"/>
          <w:szCs w:val="20"/>
        </w:rPr>
        <w:t>despre</w:t>
      </w:r>
      <w:r>
        <w:rPr>
          <w:rFonts w:cs="Arial"/>
          <w:szCs w:val="20"/>
        </w:rPr>
        <w:t xml:space="preserve"> canabis</w:t>
      </w:r>
      <w:r w:rsidRPr="006D533B">
        <w:rPr>
          <w:rFonts w:cs="Arial"/>
          <w:szCs w:val="20"/>
        </w:rPr>
        <w:t xml:space="preserve">, </w:t>
      </w:r>
      <w:r>
        <w:rPr>
          <w:rFonts w:cs="Arial"/>
          <w:szCs w:val="20"/>
        </w:rPr>
        <w:t>Raportul european privind drogurile</w:t>
      </w:r>
      <w:r w:rsidRPr="006D533B">
        <w:rPr>
          <w:rFonts w:cs="Arial"/>
          <w:szCs w:val="20"/>
        </w:rPr>
        <w:t xml:space="preserve">, </w:t>
      </w:r>
      <w:r>
        <w:rPr>
          <w:rFonts w:cs="Arial"/>
          <w:szCs w:val="20"/>
        </w:rPr>
        <w:t xml:space="preserve">capitolul </w:t>
      </w:r>
      <w:r w:rsidRPr="006D533B">
        <w:rPr>
          <w:rFonts w:cs="Arial"/>
          <w:szCs w:val="20"/>
        </w:rPr>
        <w:t>1).</w:t>
      </w:r>
    </w:p>
    <w:p w:rsidR="00A6132B" w:rsidRDefault="00A6132B" w:rsidP="00865406">
      <w:pPr>
        <w:pStyle w:val="newsContent"/>
      </w:pPr>
      <w:r>
        <w:rPr>
          <w:rFonts w:cs="Arial"/>
          <w:b/>
          <w:szCs w:val="20"/>
        </w:rPr>
        <w:t xml:space="preserve">Tratamentul online pentru </w:t>
      </w:r>
      <w:r w:rsidR="00865406">
        <w:rPr>
          <w:rFonts w:cs="Arial"/>
          <w:b/>
          <w:szCs w:val="20"/>
        </w:rPr>
        <w:t>consumul</w:t>
      </w:r>
      <w:r>
        <w:rPr>
          <w:rFonts w:cs="Arial"/>
          <w:b/>
          <w:szCs w:val="20"/>
        </w:rPr>
        <w:t xml:space="preserve"> de droguri – noi posibilităţi de relaţionare cu consumatorii de droguri</w:t>
      </w:r>
    </w:p>
    <w:p w:rsidR="00C501A4" w:rsidRDefault="00A6132B" w:rsidP="00865406">
      <w:pPr>
        <w:pStyle w:val="newsContent"/>
        <w:rPr>
          <w:rFonts w:cs="Arial"/>
          <w:szCs w:val="20"/>
        </w:rPr>
      </w:pPr>
      <w:r>
        <w:rPr>
          <w:rFonts w:cs="Arial"/>
          <w:szCs w:val="20"/>
        </w:rPr>
        <w:t>Internetul este în prezent recunoscut ca vehicul plauzibil pentru programele educative, preventive şi de tratament în ceea ce priveşte consumul de droguri şi alcool într-o varietate de contexte</w:t>
      </w:r>
      <w:r w:rsidRPr="006D533B">
        <w:rPr>
          <w:rFonts w:cs="Arial"/>
          <w:szCs w:val="20"/>
        </w:rPr>
        <w:t xml:space="preserve">. </w:t>
      </w:r>
      <w:r>
        <w:rPr>
          <w:rFonts w:cs="Arial"/>
          <w:szCs w:val="20"/>
        </w:rPr>
        <w:t xml:space="preserve">Astăzi, </w:t>
      </w:r>
      <w:r w:rsidRPr="006D533B">
        <w:rPr>
          <w:rFonts w:cs="Arial"/>
          <w:b/>
          <w:szCs w:val="20"/>
        </w:rPr>
        <w:t>EMCDDA</w:t>
      </w:r>
      <w:r w:rsidR="00F85945">
        <w:rPr>
          <w:rFonts w:cs="Arial"/>
          <w:b/>
          <w:szCs w:val="20"/>
        </w:rPr>
        <w:t xml:space="preserve"> </w:t>
      </w:r>
      <w:r>
        <w:rPr>
          <w:rFonts w:cs="Arial"/>
          <w:szCs w:val="20"/>
        </w:rPr>
        <w:t xml:space="preserve">prezintă evoluţiile tratamentului online </w:t>
      </w:r>
      <w:r w:rsidR="00865406">
        <w:rPr>
          <w:rFonts w:cs="Arial"/>
          <w:szCs w:val="20"/>
        </w:rPr>
        <w:t xml:space="preserve">pentru consumul </w:t>
      </w:r>
      <w:r>
        <w:rPr>
          <w:rFonts w:cs="Arial"/>
          <w:szCs w:val="20"/>
        </w:rPr>
        <w:t xml:space="preserve">de droguri </w:t>
      </w:r>
      <w:r w:rsidRPr="00B37E57">
        <w:rPr>
          <w:rFonts w:cs="Arial"/>
          <w:szCs w:val="20"/>
        </w:rPr>
        <w:t>(</w:t>
      </w:r>
      <w:r w:rsidRPr="00B37E57">
        <w:rPr>
          <w:rFonts w:cs="Arial"/>
          <w:i/>
          <w:iCs/>
          <w:szCs w:val="20"/>
        </w:rPr>
        <w:t>Internet-based drug treatment</w:t>
      </w:r>
      <w:r w:rsidR="001642DE" w:rsidRPr="00B37E57">
        <w:rPr>
          <w:rFonts w:cs="Arial"/>
          <w:i/>
          <w:iCs/>
          <w:szCs w:val="20"/>
        </w:rPr>
        <w:t xml:space="preserve"> </w:t>
      </w:r>
      <w:r w:rsidRPr="00B37E57">
        <w:rPr>
          <w:rFonts w:cs="Arial"/>
          <w:szCs w:val="20"/>
        </w:rPr>
        <w:t xml:space="preserve">– IBDT), care a devenit un fenomen răspândit în Europa în ultimii 10 ani, în special în legătură cu consumul de canabis. </w:t>
      </w:r>
      <w:r w:rsidR="00865406" w:rsidRPr="00B37E57">
        <w:rPr>
          <w:rFonts w:cs="Arial"/>
          <w:szCs w:val="20"/>
        </w:rPr>
        <w:t>Această formă de tratament</w:t>
      </w:r>
      <w:r w:rsidRPr="00B37E57">
        <w:rPr>
          <w:rFonts w:cs="Arial"/>
          <w:szCs w:val="20"/>
        </w:rPr>
        <w:t xml:space="preserve"> online utilizează o serie de</w:t>
      </w:r>
      <w:r>
        <w:rPr>
          <w:rFonts w:cs="Arial"/>
          <w:szCs w:val="20"/>
        </w:rPr>
        <w:t xml:space="preserve"> tehnici psihosociale, pe care le integrează într-un nou mecanism online de realizare a tratamentului</w:t>
      </w:r>
      <w:r w:rsidRPr="006D533B">
        <w:rPr>
          <w:rFonts w:cs="Arial"/>
          <w:szCs w:val="20"/>
        </w:rPr>
        <w:t xml:space="preserve">. </w:t>
      </w:r>
      <w:r>
        <w:rPr>
          <w:rFonts w:cs="Arial"/>
          <w:szCs w:val="20"/>
        </w:rPr>
        <w:t xml:space="preserve">Deşi protecţia datelor şi anonimitatea sunt aspecte importante care trebuie abordate în continuare, </w:t>
      </w:r>
      <w:r w:rsidR="0067286B">
        <w:rPr>
          <w:rFonts w:cs="Arial"/>
          <w:szCs w:val="20"/>
        </w:rPr>
        <w:t xml:space="preserve">acest tip de furnizare de </w:t>
      </w:r>
      <w:r w:rsidR="0067286B">
        <w:rPr>
          <w:rFonts w:cs="Arial"/>
          <w:szCs w:val="20"/>
        </w:rPr>
        <w:lastRenderedPageBreak/>
        <w:t>servicii oferă avantaje ca</w:t>
      </w:r>
      <w:r w:rsidRPr="006D533B">
        <w:rPr>
          <w:rFonts w:cs="Arial"/>
          <w:szCs w:val="20"/>
        </w:rPr>
        <w:t xml:space="preserve">: </w:t>
      </w:r>
      <w:r>
        <w:rPr>
          <w:rFonts w:cs="Arial"/>
          <w:szCs w:val="20"/>
        </w:rPr>
        <w:t xml:space="preserve">sfera geografică mai largă, accesul la consumatori la care serviciile specializate în materie de droguri nu ajung, precum şi o asistenţă mai promptă </w:t>
      </w:r>
      <w:r w:rsidRPr="006D533B">
        <w:rPr>
          <w:rFonts w:cs="Arial"/>
          <w:szCs w:val="20"/>
        </w:rPr>
        <w:t>(</w:t>
      </w:r>
      <w:r>
        <w:rPr>
          <w:rFonts w:cs="Arial"/>
          <w:szCs w:val="20"/>
        </w:rPr>
        <w:t>fără timpi de aşteptare</w:t>
      </w:r>
      <w:r w:rsidRPr="006D533B">
        <w:rPr>
          <w:rFonts w:cs="Arial"/>
          <w:szCs w:val="20"/>
        </w:rPr>
        <w:t xml:space="preserve">). </w:t>
      </w:r>
      <w:r>
        <w:rPr>
          <w:rFonts w:cs="Arial"/>
          <w:szCs w:val="20"/>
        </w:rPr>
        <w:t xml:space="preserve">Pe măsură ce </w:t>
      </w:r>
      <w:r w:rsidR="0067286B">
        <w:rPr>
          <w:rFonts w:cs="Arial"/>
          <w:szCs w:val="20"/>
        </w:rPr>
        <w:t xml:space="preserve">se dezvoltă </w:t>
      </w:r>
      <w:r>
        <w:rPr>
          <w:rFonts w:cs="Arial"/>
          <w:szCs w:val="20"/>
        </w:rPr>
        <w:t>programe</w:t>
      </w:r>
      <w:r w:rsidR="0067286B">
        <w:rPr>
          <w:rFonts w:cs="Arial"/>
          <w:szCs w:val="20"/>
        </w:rPr>
        <w:t>le</w:t>
      </w:r>
      <w:r>
        <w:rPr>
          <w:rFonts w:cs="Arial"/>
          <w:szCs w:val="20"/>
        </w:rPr>
        <w:t xml:space="preserve"> de tratamen</w:t>
      </w:r>
      <w:r w:rsidR="0067286B">
        <w:rPr>
          <w:rFonts w:cs="Arial"/>
          <w:szCs w:val="20"/>
        </w:rPr>
        <w:t>t online</w:t>
      </w:r>
      <w:r>
        <w:rPr>
          <w:rFonts w:cs="Arial"/>
          <w:szCs w:val="20"/>
        </w:rPr>
        <w:t xml:space="preserve">, acestea ar putea </w:t>
      </w:r>
      <w:r w:rsidR="0067286B">
        <w:rPr>
          <w:rFonts w:cs="Arial"/>
          <w:szCs w:val="20"/>
        </w:rPr>
        <w:t>fi</w:t>
      </w:r>
      <w:r w:rsidR="00F85945">
        <w:rPr>
          <w:rFonts w:cs="Arial"/>
          <w:szCs w:val="20"/>
        </w:rPr>
        <w:t xml:space="preserve"> </w:t>
      </w:r>
      <w:r w:rsidR="0067286B">
        <w:rPr>
          <w:rFonts w:cs="Arial"/>
          <w:szCs w:val="20"/>
        </w:rPr>
        <w:t>utile în</w:t>
      </w:r>
      <w:r>
        <w:rPr>
          <w:rFonts w:cs="Arial"/>
          <w:szCs w:val="20"/>
        </w:rPr>
        <w:t xml:space="preserve"> completarea serviciilor tradiţionale de tratament, oferind noi modalităţi de relaţionare cu consumatorii de droguri care </w:t>
      </w:r>
      <w:r w:rsidR="00A947A7">
        <w:rPr>
          <w:rFonts w:cs="Arial"/>
          <w:szCs w:val="20"/>
        </w:rPr>
        <w:t>solicită suport</w:t>
      </w:r>
      <w:r>
        <w:rPr>
          <w:rFonts w:cs="Arial"/>
          <w:szCs w:val="20"/>
        </w:rPr>
        <w:t xml:space="preserve"> </w:t>
      </w:r>
      <w:r w:rsidRPr="006D533B">
        <w:rPr>
          <w:rFonts w:cs="Arial"/>
          <w:szCs w:val="20"/>
        </w:rPr>
        <w:t>(</w:t>
      </w:r>
      <w:r w:rsidR="0067286B">
        <w:rPr>
          <w:rFonts w:cs="Arial"/>
          <w:szCs w:val="20"/>
        </w:rPr>
        <w:t>a se vedea</w:t>
      </w:r>
      <w:r>
        <w:rPr>
          <w:rFonts w:cs="Arial"/>
          <w:szCs w:val="20"/>
        </w:rPr>
        <w:t xml:space="preserve"> materialul </w:t>
      </w:r>
      <w:r w:rsidRPr="006D533B">
        <w:rPr>
          <w:rFonts w:cs="Arial"/>
          <w:szCs w:val="20"/>
        </w:rPr>
        <w:t>video).</w:t>
      </w:r>
    </w:p>
    <w:p w:rsidR="00A6132B" w:rsidRPr="00330B5B" w:rsidRDefault="00A6132B" w:rsidP="00C501A4">
      <w:pPr>
        <w:pStyle w:val="newsContent"/>
      </w:pPr>
      <w:r>
        <w:rPr>
          <w:rFonts w:cs="Arial"/>
          <w:b/>
          <w:szCs w:val="20"/>
        </w:rPr>
        <w:t>Cel mai mare studiu privind analiza apelor reziduale în ceea ce priveşte drogurile, realizat în mai multe oraşe, este publicat astăzi</w:t>
      </w:r>
    </w:p>
    <w:p w:rsidR="00A6132B" w:rsidRDefault="00A6132B" w:rsidP="00C501A4">
      <w:pPr>
        <w:pStyle w:val="newsContent"/>
        <w:rPr>
          <w:rFonts w:cs="Arial"/>
        </w:rPr>
      </w:pPr>
      <w:r>
        <w:rPr>
          <w:rFonts w:cs="Arial"/>
        </w:rPr>
        <w:t>Astăzi sunt publicate şi constatările celui mai mare proiect european de până în prezent în domeniul ştiinţei emergente a analizei apelor reziduale</w:t>
      </w:r>
      <w:r w:rsidRPr="006D533B">
        <w:rPr>
          <w:rFonts w:cs="Arial"/>
        </w:rPr>
        <w:t xml:space="preserve">. </w:t>
      </w:r>
      <w:r>
        <w:rPr>
          <w:rFonts w:cs="Arial"/>
        </w:rPr>
        <w:t xml:space="preserve">Acest proiect a analizat apele reziduale din peste </w:t>
      </w:r>
      <w:r w:rsidRPr="006D533B">
        <w:rPr>
          <w:rFonts w:cs="Arial"/>
        </w:rPr>
        <w:t xml:space="preserve">40 </w:t>
      </w:r>
      <w:r>
        <w:rPr>
          <w:rFonts w:cs="Arial"/>
        </w:rPr>
        <w:t xml:space="preserve">de oraşe </w:t>
      </w:r>
      <w:r w:rsidRPr="006D533B">
        <w:rPr>
          <w:rFonts w:cs="Arial"/>
        </w:rPr>
        <w:t xml:space="preserve">(21 </w:t>
      </w:r>
      <w:r>
        <w:rPr>
          <w:rFonts w:cs="Arial"/>
        </w:rPr>
        <w:t>de ţări</w:t>
      </w:r>
      <w:r w:rsidRPr="006D533B">
        <w:rPr>
          <w:rFonts w:cs="Arial"/>
        </w:rPr>
        <w:t>)</w:t>
      </w:r>
      <w:r>
        <w:rPr>
          <w:rFonts w:cs="Arial"/>
        </w:rPr>
        <w:t>, pentr</w:t>
      </w:r>
      <w:bookmarkStart w:id="0" w:name="_GoBack"/>
      <w:bookmarkEnd w:id="0"/>
      <w:r>
        <w:rPr>
          <w:rFonts w:cs="Arial"/>
        </w:rPr>
        <w:t>u a cerceta obiceiurile în materie de consum de droguri ale locuitorilor</w:t>
      </w:r>
      <w:r w:rsidRPr="006D533B">
        <w:rPr>
          <w:rFonts w:cs="Arial"/>
        </w:rPr>
        <w:t xml:space="preserve">. </w:t>
      </w:r>
      <w:r>
        <w:rPr>
          <w:rFonts w:cs="Arial"/>
        </w:rPr>
        <w:t xml:space="preserve">Concluziile proiectului sunt preluate în cadrul unei analize din seria Perspective în materie de droguri a </w:t>
      </w:r>
      <w:r w:rsidRPr="001642DE">
        <w:rPr>
          <w:rFonts w:cs="Arial"/>
          <w:b/>
        </w:rPr>
        <w:t>EMCDDA</w:t>
      </w:r>
      <w:r w:rsidRPr="006D533B">
        <w:rPr>
          <w:rFonts w:cs="Arial"/>
        </w:rPr>
        <w:t xml:space="preserve"> </w:t>
      </w:r>
      <w:r>
        <w:rPr>
          <w:rFonts w:cs="Arial"/>
        </w:rPr>
        <w:t>dedicată acestui aspect</w:t>
      </w:r>
      <w:r w:rsidRPr="006D533B">
        <w:rPr>
          <w:rFonts w:cs="Arial"/>
        </w:rPr>
        <w:t xml:space="preserve">. </w:t>
      </w:r>
      <w:r>
        <w:rPr>
          <w:rFonts w:cs="Arial"/>
        </w:rPr>
        <w:t xml:space="preserve">Au fost analizate apele reziduale provenind de la aproximativ </w:t>
      </w:r>
      <w:r w:rsidRPr="006D533B">
        <w:rPr>
          <w:rFonts w:cs="Arial"/>
        </w:rPr>
        <w:t>8</w:t>
      </w:r>
      <w:r>
        <w:rPr>
          <w:rFonts w:cs="Arial"/>
        </w:rPr>
        <w:t xml:space="preserve"> milioane de persoane pentru a fi detectate urmele a </w:t>
      </w:r>
      <w:r w:rsidR="0067286B">
        <w:rPr>
          <w:rFonts w:cs="Arial"/>
        </w:rPr>
        <w:t>5</w:t>
      </w:r>
      <w:r>
        <w:rPr>
          <w:rFonts w:cs="Arial"/>
        </w:rPr>
        <w:t xml:space="preserve"> droguri ilegale</w:t>
      </w:r>
      <w:r w:rsidRPr="006D533B">
        <w:rPr>
          <w:rFonts w:cs="Arial"/>
        </w:rPr>
        <w:t xml:space="preserve">: </w:t>
      </w:r>
      <w:r>
        <w:rPr>
          <w:rFonts w:cs="Arial"/>
        </w:rPr>
        <w:t>amfetamina</w:t>
      </w:r>
      <w:r w:rsidRPr="006D533B">
        <w:rPr>
          <w:rFonts w:cs="Arial"/>
        </w:rPr>
        <w:t xml:space="preserve">, </w:t>
      </w:r>
      <w:r>
        <w:rPr>
          <w:rFonts w:cs="Arial"/>
        </w:rPr>
        <w:t>canabisul</w:t>
      </w:r>
      <w:r w:rsidRPr="006D533B">
        <w:rPr>
          <w:rFonts w:cs="Arial"/>
        </w:rPr>
        <w:t>, cocain</w:t>
      </w:r>
      <w:r>
        <w:rPr>
          <w:rFonts w:cs="Arial"/>
        </w:rPr>
        <w:t>a</w:t>
      </w:r>
      <w:r w:rsidRPr="006D533B">
        <w:rPr>
          <w:rFonts w:cs="Arial"/>
        </w:rPr>
        <w:t>, ecstasy</w:t>
      </w:r>
      <w:r w:rsidR="00A947A7">
        <w:rPr>
          <w:rFonts w:cs="Arial"/>
        </w:rPr>
        <w:t xml:space="preserve"> </w:t>
      </w:r>
      <w:r>
        <w:rPr>
          <w:rFonts w:cs="Arial"/>
        </w:rPr>
        <w:t>şi metamfetamina</w:t>
      </w:r>
      <w:r w:rsidR="00A947A7">
        <w:rPr>
          <w:rFonts w:cs="Arial"/>
        </w:rPr>
        <w:t xml:space="preserve"> </w:t>
      </w:r>
      <w:r w:rsidRPr="006D533B">
        <w:rPr>
          <w:rFonts w:cs="Arial"/>
        </w:rPr>
        <w:t>(</w:t>
      </w:r>
      <w:r>
        <w:rPr>
          <w:rFonts w:cs="Arial"/>
        </w:rPr>
        <w:t>Noutăţi</w:t>
      </w:r>
      <w:r w:rsidRPr="006D533B">
        <w:rPr>
          <w:rFonts w:cs="Arial"/>
        </w:rPr>
        <w:t xml:space="preserve"> 5/2014).</w:t>
      </w:r>
    </w:p>
    <w:p w:rsidR="00C501A4" w:rsidRPr="00330B5B" w:rsidRDefault="00A6132B" w:rsidP="002C5771">
      <w:pPr>
        <w:pStyle w:val="newsContent"/>
      </w:pPr>
      <w:r>
        <w:t xml:space="preserve">Rezultatele oferă o valoroasă imagine a fluxului drogurilor prin oraşele în cauză, dezvăluind variaţii regionale marcante ale </w:t>
      </w:r>
      <w:r w:rsidR="0067286B">
        <w:t>modelelor</w:t>
      </w:r>
      <w:r>
        <w:t xml:space="preserve"> consumului de droguri</w:t>
      </w:r>
      <w:r w:rsidRPr="006D533B">
        <w:t xml:space="preserve">. </w:t>
      </w:r>
      <w:r w:rsidR="004C1F92">
        <w:t>Nivelurile</w:t>
      </w:r>
      <w:r>
        <w:t xml:space="preserve"> de cocaină, de exemplu, au fost mai ridicate în oraşele vestice şi în unele oraşe din </w:t>
      </w:r>
      <w:r w:rsidR="002C5771">
        <w:t>s</w:t>
      </w:r>
      <w:r>
        <w:t>ud, însă mai scăzute în oraşele nordice şi estice</w:t>
      </w:r>
      <w:r w:rsidRPr="006D533B">
        <w:t xml:space="preserve">. </w:t>
      </w:r>
      <w:r>
        <w:t>Consumul de amfetamină, deşi răspândit relativ uniform, a prezentat cele mai ridicate niveluri în nordul şi nord-vestul Europei</w:t>
      </w:r>
      <w:r w:rsidRPr="006D533B">
        <w:t xml:space="preserve">. </w:t>
      </w:r>
      <w:r>
        <w:t>Consumul de metamfetamină, în general scăzut şi concentrat în mod tradiţional în Europa Centrală, pare în prezent să se răspândească</w:t>
      </w:r>
      <w:r w:rsidRPr="006D533B">
        <w:t xml:space="preserve">. </w:t>
      </w:r>
      <w:r w:rsidR="0067286B">
        <w:t>La analiza modelelor</w:t>
      </w:r>
      <w:r>
        <w:t xml:space="preserve"> săptămânale </w:t>
      </w:r>
      <w:r w:rsidR="0067286B">
        <w:t>ale</w:t>
      </w:r>
      <w:r>
        <w:t xml:space="preserve"> consum</w:t>
      </w:r>
      <w:r w:rsidR="0067286B">
        <w:t>ului</w:t>
      </w:r>
      <w:r>
        <w:t xml:space="preserve"> de droguri</w:t>
      </w:r>
      <w:r w:rsidR="0067286B">
        <w:t>,</w:t>
      </w:r>
      <w:r>
        <w:t xml:space="preserve"> s-a constatat că</w:t>
      </w:r>
      <w:r w:rsidR="0067286B">
        <w:t>,</w:t>
      </w:r>
      <w:r w:rsidR="00BC2F1F">
        <w:t xml:space="preserve"> </w:t>
      </w:r>
      <w:r w:rsidR="0067286B">
        <w:t xml:space="preserve">în majoritatea oraşelor, </w:t>
      </w:r>
      <w:r>
        <w:t xml:space="preserve">nivelurile de cocaină şi </w:t>
      </w:r>
      <w:r w:rsidRPr="006D533B">
        <w:t>ecstasy</w:t>
      </w:r>
      <w:r w:rsidR="00BC2F1F">
        <w:t xml:space="preserve"> </w:t>
      </w:r>
      <w:r>
        <w:t>cre</w:t>
      </w:r>
      <w:r w:rsidR="002C5771">
        <w:t>sc</w:t>
      </w:r>
      <w:r>
        <w:t xml:space="preserve"> considerabil la sfârşit de săptămână, în timp ce consumul de metamfetamină şi canabis </w:t>
      </w:r>
      <w:r w:rsidR="002C5771">
        <w:t>pare</w:t>
      </w:r>
      <w:r>
        <w:t xml:space="preserve"> a fi mai uniform distribuit pe parcursul săptămânii</w:t>
      </w:r>
      <w:r w:rsidRPr="006D533B">
        <w:t>.</w:t>
      </w:r>
    </w:p>
    <w:p w:rsidR="00C501A4" w:rsidRDefault="00A6132B" w:rsidP="002C5771">
      <w:pPr>
        <w:pStyle w:val="newsContent"/>
        <w:rPr>
          <w:rFonts w:eastAsia="Times New Roman" w:cs="Arial"/>
          <w:szCs w:val="20"/>
          <w:lang w:eastAsia="en-GB"/>
        </w:rPr>
      </w:pPr>
      <w:r>
        <w:rPr>
          <w:rFonts w:cs="Arial"/>
          <w:b/>
          <w:szCs w:val="20"/>
        </w:rPr>
        <w:t xml:space="preserve">Preşedintele Consiliului de administraţie al </w:t>
      </w:r>
      <w:r w:rsidRPr="006D533B">
        <w:rPr>
          <w:rFonts w:cs="Arial"/>
          <w:b/>
          <w:szCs w:val="20"/>
        </w:rPr>
        <w:t>EMCDDA, João</w:t>
      </w:r>
      <w:r w:rsidR="0033441A">
        <w:rPr>
          <w:rFonts w:cs="Arial"/>
          <w:b/>
          <w:szCs w:val="20"/>
        </w:rPr>
        <w:t xml:space="preserve"> </w:t>
      </w:r>
      <w:r w:rsidRPr="006D533B">
        <w:rPr>
          <w:rFonts w:cs="Arial"/>
          <w:b/>
          <w:szCs w:val="20"/>
        </w:rPr>
        <w:t>Goulão</w:t>
      </w:r>
      <w:r w:rsidR="00BC2F1F">
        <w:rPr>
          <w:rFonts w:cs="Arial"/>
          <w:b/>
          <w:szCs w:val="20"/>
        </w:rPr>
        <w:t xml:space="preserve"> </w:t>
      </w:r>
      <w:r>
        <w:rPr>
          <w:rFonts w:cs="Arial"/>
          <w:szCs w:val="20"/>
        </w:rPr>
        <w:t>afirmă</w:t>
      </w:r>
      <w:r w:rsidRPr="006D533B">
        <w:rPr>
          <w:rFonts w:cs="Arial"/>
          <w:szCs w:val="20"/>
        </w:rPr>
        <w:t xml:space="preserve">: </w:t>
      </w:r>
      <w:r>
        <w:rPr>
          <w:rFonts w:cs="Arial"/>
          <w:szCs w:val="20"/>
        </w:rPr>
        <w:t xml:space="preserve">„Anul acesta, </w:t>
      </w:r>
      <w:r w:rsidRPr="006D533B">
        <w:rPr>
          <w:rFonts w:eastAsia="Times New Roman" w:cs="Arial"/>
          <w:szCs w:val="20"/>
          <w:lang w:eastAsia="en-GB"/>
        </w:rPr>
        <w:t xml:space="preserve">EMCDDA </w:t>
      </w:r>
      <w:r>
        <w:rPr>
          <w:rFonts w:eastAsia="Times New Roman" w:cs="Arial"/>
          <w:szCs w:val="20"/>
          <w:lang w:eastAsia="en-GB"/>
        </w:rPr>
        <w:t>sublinia</w:t>
      </w:r>
      <w:r w:rsidR="002C5771">
        <w:rPr>
          <w:rFonts w:eastAsia="Times New Roman" w:cs="Arial"/>
          <w:szCs w:val="20"/>
          <w:lang w:eastAsia="en-GB"/>
        </w:rPr>
        <w:t>z</w:t>
      </w:r>
      <w:r>
        <w:rPr>
          <w:rFonts w:eastAsia="Times New Roman" w:cs="Arial"/>
          <w:szCs w:val="20"/>
          <w:lang w:eastAsia="en-GB"/>
        </w:rPr>
        <w:t>ă o serie de noi provocări pe care le ridică drogurile stimulente şi alte droguri</w:t>
      </w:r>
      <w:r w:rsidRPr="006D533B">
        <w:rPr>
          <w:rFonts w:eastAsia="Times New Roman" w:cs="Arial"/>
          <w:szCs w:val="20"/>
          <w:lang w:eastAsia="en-GB"/>
        </w:rPr>
        <w:t xml:space="preserve">. </w:t>
      </w:r>
      <w:r>
        <w:rPr>
          <w:rFonts w:eastAsia="Times New Roman" w:cs="Arial"/>
          <w:szCs w:val="20"/>
          <w:lang w:eastAsia="en-GB"/>
        </w:rPr>
        <w:t xml:space="preserve">În special, agenţia analizează </w:t>
      </w:r>
      <w:r w:rsidR="002C5771">
        <w:rPr>
          <w:rFonts w:eastAsia="Times New Roman" w:cs="Arial"/>
          <w:szCs w:val="20"/>
          <w:lang w:eastAsia="en-GB"/>
        </w:rPr>
        <w:t>baza de dovezi</w:t>
      </w:r>
      <w:r>
        <w:rPr>
          <w:rFonts w:eastAsia="Times New Roman" w:cs="Arial"/>
          <w:szCs w:val="20"/>
          <w:lang w:eastAsia="en-GB"/>
        </w:rPr>
        <w:t xml:space="preserve"> recent apărute şi din ce în ce mai numeroase pentru tratamentul problemelor legate de consumul de cocaină, metamfetamină şi canabis</w:t>
      </w:r>
      <w:r w:rsidRPr="006D533B">
        <w:rPr>
          <w:rFonts w:eastAsia="Times New Roman" w:cs="Arial"/>
          <w:szCs w:val="20"/>
          <w:lang w:eastAsia="en-GB"/>
        </w:rPr>
        <w:t xml:space="preserve">. </w:t>
      </w:r>
      <w:r>
        <w:rPr>
          <w:rFonts w:eastAsia="Times New Roman" w:cs="Arial"/>
          <w:szCs w:val="20"/>
          <w:lang w:eastAsia="en-GB"/>
        </w:rPr>
        <w:t>Un element comun în acest sens este importanţa intervenţiilor psihosociale, care reprezintă o parte deosebit de importantă a instrumentelor terapeutice de care dispunem pentru a răspunde problemelor contemporane în materie de droguri”</w:t>
      </w:r>
      <w:r w:rsidRPr="006D533B">
        <w:rPr>
          <w:rFonts w:eastAsia="Times New Roman" w:cs="Arial"/>
          <w:szCs w:val="20"/>
          <w:lang w:eastAsia="en-GB"/>
        </w:rPr>
        <w:t>.</w:t>
      </w:r>
    </w:p>
    <w:p w:rsidR="001642DE" w:rsidRDefault="001642DE" w:rsidP="00C501A4">
      <w:pPr>
        <w:pStyle w:val="newsContent"/>
      </w:pPr>
    </w:p>
    <w:p w:rsidR="001642DE" w:rsidRPr="001642DE" w:rsidRDefault="001642DE" w:rsidP="001642DE"/>
    <w:p w:rsidR="001642DE" w:rsidRPr="001642DE" w:rsidRDefault="001642DE" w:rsidP="001642DE"/>
    <w:p w:rsidR="001642DE" w:rsidRPr="001642DE" w:rsidRDefault="001642DE" w:rsidP="001642DE"/>
    <w:p w:rsidR="001642DE" w:rsidRPr="001642DE" w:rsidRDefault="001642DE" w:rsidP="001642DE"/>
    <w:p w:rsidR="001642DE" w:rsidRPr="001642DE" w:rsidRDefault="001642DE" w:rsidP="001642DE"/>
    <w:p w:rsidR="001642DE" w:rsidRPr="001642DE" w:rsidRDefault="001642DE" w:rsidP="001642DE"/>
    <w:p w:rsidR="001642DE" w:rsidRDefault="001642DE" w:rsidP="001642DE"/>
    <w:p w:rsidR="00CC5B1D" w:rsidRPr="001642DE" w:rsidRDefault="001642DE" w:rsidP="001642DE">
      <w:pPr>
        <w:tabs>
          <w:tab w:val="left" w:pos="4184"/>
        </w:tabs>
      </w:pPr>
      <w:r>
        <w:tab/>
      </w:r>
    </w:p>
    <w:sectPr w:rsidR="00CC5B1D" w:rsidRPr="001642DE" w:rsidSect="001642DE">
      <w:headerReference w:type="default" r:id="rId9"/>
      <w:footerReference w:type="default" r:id="rId10"/>
      <w:footerReference w:type="first" r:id="rId11"/>
      <w:type w:val="continuous"/>
      <w:pgSz w:w="11906" w:h="16838" w:code="9"/>
      <w:pgMar w:top="1276" w:right="1276" w:bottom="1304" w:left="1276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3D4E" w:rsidRDefault="006D3D4E" w:rsidP="009A28FB">
      <w:pPr>
        <w:spacing w:after="0" w:line="240" w:lineRule="auto"/>
      </w:pPr>
      <w:r>
        <w:separator/>
      </w:r>
    </w:p>
  </w:endnote>
  <w:endnote w:type="continuationSeparator" w:id="0">
    <w:p w:rsidR="006D3D4E" w:rsidRDefault="006D3D4E" w:rsidP="009A28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altName w:val="Arial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23" w:type="dxa"/>
      <w:tblInd w:w="-510" w:type="dxa"/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8505"/>
      <w:gridCol w:w="1418"/>
    </w:tblGrid>
    <w:tr w:rsidR="00CC5B1D" w:rsidRPr="00107483" w:rsidTr="00936C17">
      <w:tc>
        <w:tcPr>
          <w:tcW w:w="8505" w:type="dxa"/>
          <w:shd w:val="clear" w:color="auto" w:fill="auto"/>
        </w:tcPr>
        <w:p w:rsidR="00CC5B1D" w:rsidRPr="00107483" w:rsidRDefault="00AA420B" w:rsidP="001642DE">
          <w:pPr>
            <w:pStyle w:val="newsCoordinates"/>
          </w:pPr>
          <w:r w:rsidRPr="00B37E57">
            <w:rPr>
              <w:noProof/>
              <w:lang w:val="en-GB" w:eastAsia="ja-JP"/>
            </w:rPr>
            <w:pict>
              <v:line id="Straight Connector 14" o:spid="_x0000_s4098" style="position:absolute;left:0;text-align:left;flip:x;z-index:-251658752;visibility:visible;mso-wrap-distance-left:3.17497mm;mso-wrap-distance-right:3.17497mm;mso-position-horizontal-relative:page;mso-position-vertical-relative:page;mso-width-relative:margin;mso-height-relative:margin" from="2.8pt,1.2pt" to="2.8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GiLywEAAIUDAAAOAAAAZHJzL2Uyb0RvYy54bWysU8uO2zAMvBfoPwi6N3YWfcWIs4cE2x4W&#10;bYC0H8DIsi1UL5Bq7Px9KSXN7ra3oj4IFEkNOUN6fT87K04ayQTfyuWilkJ7FTrjh1Z+//bw5qMU&#10;lMB3YIPXrTxrkveb16/WU2z0XRiD7TQKBvHUTLGVY0qxqSpSo3ZAixC152Af0EHiKw5VhzAxurPV&#10;XV2/r6aAXcSgNBF7d5eg3BT8vtcqfe170knYVnJvqZxYzmM+q80amgEhjkZd24B/6MKB8Vz0BrWD&#10;BOInmr+gnFEYKPRpoYKrQt8bpQsHZrOs/2BzGCHqwoXFoXiTif4frPpy2qMwHc/urRQeHM/okBDM&#10;MCaxDd6zggEFB1mpKVLDD7Z+j5mrmv0hPgb1gzhWvQjmC8VL2tyjE7018TMXKSIxbTGXGZxvM9Bz&#10;EuriVOxd1h9W78p4KmgyQi4YkdInHZzIRiut8VkdaOD0SCn38JSS3T48GGvLhK0XE4OuasYUCnjR&#10;eguJTReZOvlBCrADb7BKWCApWNPl5xmIcDhuLYoT5C3ib7XKcnC5F2m5qx3QeMkroWua9RlGl328&#10;tvqkULaOoTvv8beMPOuCft3LvEzP72w//3s2vwAAAP//AwBQSwMEFAAGAAgAAAAhAKE8uGfaAAAA&#10;BAEAAA8AAABkcnMvZG93bnJldi54bWxMjkFLw0AQhe+C/2EZwYvYjaWtJmZTxCJoL9IqnifZaRLM&#10;zobsto399U5Peny8j/e+fDm6Th1oCK1nA3eTBBRx5W3LtYHPj5fbB1AhIlvsPJOBHwqwLC4vcsys&#10;P/KGDttYKxnhkKGBJsY+0zpUDTkME98TS7fzg8Mocai1HfAo467T0yRZaIcty0ODPT03VH1v985A&#10;y6e3Oh3T3Xu6PpX3m6/V6818Zcz11fj0CCrSGP9gOOuLOhTiVPo926A6A/OFgAamM1DSnlMpUDoD&#10;XeT6v3zxCwAA//8DAFBLAQItABQABgAIAAAAIQC2gziS/gAAAOEBAAATAAAAAAAAAAAAAAAAAAAA&#10;AABbQ29udGVudF9UeXBlc10ueG1sUEsBAi0AFAAGAAgAAAAhADj9If/WAAAAlAEAAAsAAAAAAAAA&#10;AAAAAAAALwEAAF9yZWxzLy5yZWxzUEsBAi0AFAAGAAgAAAAhAG8IaIvLAQAAhQMAAA4AAAAAAAAA&#10;AAAAAAAALgIAAGRycy9lMm9Eb2MueG1sUEsBAi0AFAAGAAgAAAAhAKE8uGfaAAAABAEAAA8AAAAA&#10;AAAAAAAAAAAAJQQAAGRycy9kb3ducmV2LnhtbFBLBQYAAAAABAAEAPMAAAAsBQAAAAA=&#10;" strokecolor="#009" strokeweight="1.5pt">
                <o:lock v:ext="edit" shapetype="f"/>
                <w10:wrap anchorx="page" anchory="page"/>
              </v:line>
            </w:pict>
          </w:r>
          <w:r w:rsidR="00936C17" w:rsidRPr="00B37E57">
            <w:rPr>
              <w:noProof/>
              <w:lang w:eastAsia="en-GB"/>
            </w:rPr>
            <w:t xml:space="preserve">Perspective </w:t>
          </w:r>
          <w:r w:rsidR="001642DE" w:rsidRPr="00B37E57">
            <w:rPr>
              <w:noProof/>
              <w:lang w:eastAsia="en-GB"/>
            </w:rPr>
            <w:t xml:space="preserve">privind </w:t>
          </w:r>
          <w:r w:rsidR="00936C17" w:rsidRPr="00B37E57">
            <w:rPr>
              <w:noProof/>
              <w:lang w:eastAsia="en-GB"/>
            </w:rPr>
            <w:t>droguri</w:t>
          </w:r>
          <w:r w:rsidR="001642DE" w:rsidRPr="00B37E57">
            <w:rPr>
              <w:noProof/>
              <w:lang w:eastAsia="en-GB"/>
            </w:rPr>
            <w:t>le</w:t>
          </w:r>
          <w:r w:rsidR="001642DE">
            <w:rPr>
              <w:noProof/>
              <w:lang w:eastAsia="en-GB"/>
            </w:rPr>
            <w:t xml:space="preserve"> </w:t>
          </w:r>
          <w:r w:rsidR="00936C17">
            <w:rPr>
              <w:noProof/>
              <w:lang w:eastAsia="en-GB"/>
            </w:rPr>
            <w:t>– disponibil în limba engleză la www.</w:t>
          </w:r>
          <w:r w:rsidR="00CC5B1D" w:rsidRPr="00107483">
            <w:rPr>
              <w:noProof/>
              <w:lang w:eastAsia="en-GB"/>
            </w:rPr>
            <w:t>emcdda.europa.eu</w:t>
          </w:r>
          <w:r w:rsidR="00936C17">
            <w:rPr>
              <w:noProof/>
              <w:lang w:eastAsia="en-GB"/>
            </w:rPr>
            <w:t>/edr2014</w:t>
          </w:r>
        </w:p>
      </w:tc>
      <w:tc>
        <w:tcPr>
          <w:tcW w:w="1418" w:type="dxa"/>
          <w:shd w:val="clear" w:color="auto" w:fill="auto"/>
          <w:vAlign w:val="bottom"/>
        </w:tcPr>
        <w:p w:rsidR="00CC5B1D" w:rsidRPr="00107483" w:rsidRDefault="00CC5B1D" w:rsidP="00107483">
          <w:pPr>
            <w:pStyle w:val="newsReference"/>
            <w:jc w:val="right"/>
          </w:pPr>
        </w:p>
      </w:tc>
    </w:tr>
  </w:tbl>
  <w:p w:rsidR="00CC5B1D" w:rsidRDefault="00CC5B1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90" w:type="dxa"/>
      <w:tblInd w:w="-510" w:type="dxa"/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7196"/>
      <w:gridCol w:w="3294"/>
    </w:tblGrid>
    <w:tr w:rsidR="00CC5B1D" w:rsidRPr="00107483">
      <w:tc>
        <w:tcPr>
          <w:tcW w:w="7196" w:type="dxa"/>
          <w:shd w:val="clear" w:color="auto" w:fill="auto"/>
        </w:tcPr>
        <w:p w:rsidR="00CC5B1D" w:rsidRPr="00107483" w:rsidRDefault="00CC5B1D" w:rsidP="009C5DCD">
          <w:pPr>
            <w:pStyle w:val="newsCoordinates"/>
          </w:pPr>
          <w:r w:rsidRPr="00107483">
            <w:t xml:space="preserve">Contact: </w:t>
          </w:r>
          <w:proofErr w:type="spellStart"/>
          <w:r w:rsidRPr="00107483">
            <w:t>Kathy</w:t>
          </w:r>
          <w:proofErr w:type="spellEnd"/>
          <w:r w:rsidRPr="00107483">
            <w:t xml:space="preserve"> Robertson, Relaţii cu mass-media</w:t>
          </w:r>
          <w:r w:rsidR="00AA420B">
            <w:rPr>
              <w:noProof/>
              <w:lang w:val="en-GB" w:eastAsia="ja-JP"/>
            </w:rPr>
            <w:pict>
              <v:line id="Straight Connector 4" o:spid="_x0000_s4097" style="position:absolute;left:0;text-align:left;z-index:-251657728;visibility:visible;mso-wrap-distance-left:3.17497mm;mso-wrap-distance-right:3.17497mm;mso-position-horizontal-relative:page;mso-position-vertical-relative:page;mso-height-relative:margin" from="2.55pt,-1.15pt" to="2.55pt,3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AqYxQEAAHkDAAAOAAAAZHJzL2Uyb0RvYy54bWysU01v2zAMvQ/YfxB0X+x02dAYcXpI0F2K&#10;LUDWH8DIsi1MXyC1OPn3o5Ska7fbMB8EiqQeycfn1cPJWXHUSCb4Vs5ntRTaq9AZP7Ty+fvjh3sp&#10;KIHvwAavW3nWJB/W79+tptjouzAG22kUDOKpmWIrx5RiU1WkRu2AZiFqz8E+oIPEVxyqDmFidGer&#10;u7r+XE0Bu4hBaSL2bi9BuS74fa9V+tb3pJOwreTeUjmxnId8VusVNANCHI26tgH/0IUD47noC9QW&#10;EoifaP6CckZhoNCnmQquCn1vlC4z8DTz+o9p9iNEXWZhcii+0ET/D1Z9Pe5QmK6VCyk8OF7RPiGY&#10;YUxiE7xnAgOKReZpitRw+sbvME+qTn4fn4L6QRyr3gTzheIl7dSjy+k8qjgV3s8vvOtTEuriVOxd&#10;fJzf12UlFTS3dxEpfdHBiWy00hqfGYEGjk+UcmVobinZ7cOjsbZs1XoxsSSX9SdevAIWV28hseki&#10;j0t+kALswKpVCQskBWu6/DwDEQ6HjUVxhKwc/pbLTAKXe5OWa2+BxkteCV3TrM8wumjw2upvXrJ1&#10;CN15hzfyeL8F/arFLKDXd7Zf/zHrXwAAAP//AwBQSwMEFAAGAAgAAAAhAOyGefzdAAAABQEAAA8A&#10;AABkcnMvZG93bnJldi54bWxMjsFOwzAQRO9I/IO1SFxQ67SoLQrZVAip4gQ0BSSObryNI+J1iJ0m&#10;9OtxT3AczejNy9ajbcSROl87RphNExDEpdM1Vwjvb5vJHQgfFGvVOCaEH/Kwzi8vMpVqN3BBx12o&#10;RISwTxWCCaFNpfSlIav81LXEsTu4zqoQY1dJ3akhwm0j50mylFbVHB+MaunRUPm16y1CfyoOQ/H9&#10;KY3vtk83L68fq9PzBvH6any4BxFoDH9jOOtHdcij0971rL1oEBazOESYzG9BxPoc9wjLxQpknsn/&#10;9vkvAAAA//8DAFBLAQItABQABgAIAAAAIQC2gziS/gAAAOEBAAATAAAAAAAAAAAAAAAAAAAAAABb&#10;Q29udGVudF9UeXBlc10ueG1sUEsBAi0AFAAGAAgAAAAhADj9If/WAAAAlAEAAAsAAAAAAAAAAAAA&#10;AAAALwEAAF9yZWxzLy5yZWxzUEsBAi0AFAAGAAgAAAAhAIMoCpjFAQAAeQMAAA4AAAAAAAAAAAAA&#10;AAAALgIAAGRycy9lMm9Eb2MueG1sUEsBAi0AFAAGAAgAAAAhAOyGefzdAAAABQEAAA8AAAAAAAAA&#10;AAAAAAAAHwQAAGRycy9kb3ducmV2LnhtbFBLBQYAAAAABAAEAPMAAAApBQAAAAA=&#10;" strokecolor="#009" strokeweight="1.5pt">
                <o:lock v:ext="edit" shapetype="f"/>
                <w10:wrap anchorx="page" anchory="page"/>
              </v:line>
            </w:pict>
          </w:r>
          <w:r w:rsidR="001642DE">
            <w:t xml:space="preserve"> </w:t>
          </w:r>
          <w:r w:rsidRPr="00107483">
            <w:t xml:space="preserve"> </w:t>
          </w:r>
        </w:p>
        <w:p w:rsidR="00CC5B1D" w:rsidRPr="00107483" w:rsidRDefault="00CC5B1D" w:rsidP="009C5DCD">
          <w:pPr>
            <w:pStyle w:val="newsCoordinates"/>
          </w:pPr>
          <w:proofErr w:type="spellStart"/>
          <w:r w:rsidRPr="00107483">
            <w:t>Praça</w:t>
          </w:r>
          <w:proofErr w:type="spellEnd"/>
          <w:r w:rsidRPr="00107483">
            <w:t xml:space="preserve"> Europa 1, Cais do </w:t>
          </w:r>
          <w:proofErr w:type="spellStart"/>
          <w:r w:rsidRPr="00107483">
            <w:t>Sodré</w:t>
          </w:r>
          <w:proofErr w:type="spellEnd"/>
          <w:r w:rsidRPr="00107483">
            <w:t>, 1249-289 Lisabona, Portugalia</w:t>
          </w:r>
        </w:p>
        <w:p w:rsidR="00CC5B1D" w:rsidRPr="00107483" w:rsidRDefault="00CC5B1D" w:rsidP="00BD730E">
          <w:pPr>
            <w:pStyle w:val="newsCoordinates"/>
          </w:pPr>
          <w:r w:rsidRPr="00107483">
            <w:t xml:space="preserve">Tel. (351) 211 21 02 00 </w:t>
          </w:r>
          <w:r w:rsidRPr="00107483">
            <w:rPr>
              <w:sz w:val="18"/>
            </w:rPr>
            <w:t xml:space="preserve">I </w:t>
          </w:r>
          <w:r w:rsidRPr="00107483">
            <w:t>press@emcdda.europa.eu</w:t>
          </w:r>
          <w:r w:rsidRPr="00107483">
            <w:rPr>
              <w:sz w:val="18"/>
            </w:rPr>
            <w:t>I</w:t>
          </w:r>
          <w:r w:rsidRPr="00107483">
            <w:t>emcdda.europa.eu</w:t>
          </w:r>
        </w:p>
      </w:tc>
      <w:tc>
        <w:tcPr>
          <w:tcW w:w="3294" w:type="dxa"/>
          <w:shd w:val="clear" w:color="auto" w:fill="auto"/>
          <w:vAlign w:val="bottom"/>
        </w:tcPr>
        <w:p w:rsidR="00CC5B1D" w:rsidRPr="00107483" w:rsidRDefault="00CC5B1D" w:rsidP="00107483">
          <w:pPr>
            <w:pStyle w:val="newsReference"/>
            <w:jc w:val="right"/>
          </w:pPr>
          <w:r w:rsidRPr="00107483">
            <w:t xml:space="preserve">RO — Nr. </w:t>
          </w:r>
          <w:r>
            <w:t>4</w:t>
          </w:r>
          <w:r w:rsidRPr="00107483">
            <w:t>/</w:t>
          </w:r>
          <w:r>
            <w:t>2014</w:t>
          </w:r>
        </w:p>
      </w:tc>
    </w:tr>
  </w:tbl>
  <w:p w:rsidR="00CC5B1D" w:rsidRDefault="00CC5B1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3D4E" w:rsidRDefault="006D3D4E" w:rsidP="009A28FB">
      <w:pPr>
        <w:spacing w:after="0" w:line="240" w:lineRule="auto"/>
      </w:pPr>
      <w:r>
        <w:separator/>
      </w:r>
    </w:p>
  </w:footnote>
  <w:footnote w:type="continuationSeparator" w:id="0">
    <w:p w:rsidR="006D3D4E" w:rsidRDefault="006D3D4E" w:rsidP="009A28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90" w:type="dxa"/>
      <w:tblInd w:w="-510" w:type="dxa"/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7196"/>
      <w:gridCol w:w="3294"/>
    </w:tblGrid>
    <w:tr w:rsidR="00CC5B1D" w:rsidRPr="00107483">
      <w:tc>
        <w:tcPr>
          <w:tcW w:w="7196" w:type="dxa"/>
          <w:shd w:val="clear" w:color="auto" w:fill="auto"/>
        </w:tcPr>
        <w:p w:rsidR="00CC5B1D" w:rsidRPr="00107483" w:rsidRDefault="00AA420B" w:rsidP="001642DE">
          <w:pPr>
            <w:pStyle w:val="newsEmbargo"/>
          </w:pPr>
          <w:r w:rsidRPr="00B37E57">
            <w:rPr>
              <w:noProof/>
              <w:lang w:val="en-GB" w:eastAsia="ja-JP"/>
            </w:rPr>
            <w:pict>
              <v:line id="Straight Connector 11" o:spid="_x0000_s4099" style="position:absolute;left:0;text-align:left;z-index:-251659776;visibility:visible;mso-wrap-distance-left:3.17497mm;mso-wrap-distance-right:3.17497mm;mso-position-horizontal-relative:page;mso-position-vertical-relative:page;mso-height-relative:margin" from="2.8pt,-.1pt" to="2.8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9kLxQEAAHsDAAAOAAAAZHJzL2Uyb0RvYy54bWysU8uO2zAMvBfoPwi6N3aC7aIx4uwhwfay&#10;aAOk/QBGlm2heoFU4+TvSymP7ra3oj4IFEkNOUN69XRyVhw1kgm+lfNZLYX2KnTGD638/u35wycp&#10;KIHvwAavW3nWJJ/W79+tptjoRRiD7TQKBvHUTLGVY0qxqSpSo3ZAsxC152Af0EHiKw5VhzAxurPV&#10;oq4fqylgFzEoTcTe7SUo1wW/77VKX/uedBK2ldxbKieW85DPar2CZkCIo1HXNuAfunBgPBe9Q20h&#10;gfiJ5i8oZxQGCn2aqeCq0PdG6cKB2czrP9jsR4i6cGFxKN5lov8Hq74cdyhMx7ObS+HB8Yz2CcEM&#10;YxKb4D0rGFBwkJWaIjX8YON3mLmqk9/Hl6B+EMeqN8F8oXhJO/XocjqTFaei/PmuvD4loS5Oxd75&#10;4uHhsQylgub2LiKlzzo4kY1WWuOzJtDA8YVSrgzNLSW7fXg21pa5Wi8mBl3WH3n0Cni9eguJTReZ&#10;MPlBCrAD761KWCApWNPl5xmIcDhsLIoj5N3hb7nMInC5N2m59hZovOSV0DXN+gyjyxZeW/2tS7YO&#10;oTvv8CYeT7igX7cxr9DrO9uv/5n1LwAAAP//AwBQSwMEFAAGAAgAAAAhAKazxl/bAAAABAEAAA8A&#10;AABkcnMvZG93bnJldi54bWxMjsFOwzAQRO9I/IO1SFxQ61BBgRCnQkgVJyhpi8TRjbdJRLwOttOE&#10;fj3bExxH8zTzssVoW3FAHxpHCq6nCQik0pmGKgXbzXJyDyJETUa3jlDBDwZY5OdnmU6NG6jAwzpW&#10;gkcopFpBHWOXShnKGq0OU9chcbd33urI0VfSeD3wuG3lLEnm0uqG+KHWHT7XWH6te6ugPxb7ofj+&#10;lHXw7y9Xb6uPu+PrUqnLi/HpEUTEMf7BcNJndcjZaed6MkG0Cm7nDCqYzEBwe0o7hh5uQOaZ/C+f&#10;/wIAAP//AwBQSwECLQAUAAYACAAAACEAtoM4kv4AAADhAQAAEwAAAAAAAAAAAAAAAAAAAAAAW0Nv&#10;bnRlbnRfVHlwZXNdLnhtbFBLAQItABQABgAIAAAAIQA4/SH/1gAAAJQBAAALAAAAAAAAAAAAAAAA&#10;AC8BAABfcmVscy8ucmVsc1BLAQItABQABgAIAAAAIQB8c9kLxQEAAHsDAAAOAAAAAAAAAAAAAAAA&#10;AC4CAABkcnMvZTJvRG9jLnhtbFBLAQItABQABgAIAAAAIQCms8Zf2wAAAAQBAAAPAAAAAAAAAAAA&#10;AAAAAB8EAABkcnMvZG93bnJldi54bWxQSwUGAAAAAAQABADzAAAAJwUAAAAA&#10;" strokecolor="#009" strokeweight="1.5pt">
                <o:lock v:ext="edit" shapetype="f"/>
                <w10:wrap anchorx="page" anchory="page"/>
              </v:line>
            </w:pict>
          </w:r>
          <w:r w:rsidR="00CC5B1D" w:rsidRPr="00B37E57">
            <w:rPr>
              <w:noProof/>
              <w:lang w:eastAsia="en-GB"/>
            </w:rPr>
            <w:t xml:space="preserve">Perspective </w:t>
          </w:r>
          <w:r w:rsidR="001642DE" w:rsidRPr="00B37E57">
            <w:rPr>
              <w:noProof/>
              <w:lang w:eastAsia="en-GB"/>
            </w:rPr>
            <w:t>privind</w:t>
          </w:r>
          <w:r w:rsidR="00CC5B1D" w:rsidRPr="00B37E57">
            <w:rPr>
              <w:noProof/>
              <w:lang w:eastAsia="en-GB"/>
            </w:rPr>
            <w:t xml:space="preserve"> droguri</w:t>
          </w:r>
          <w:r w:rsidR="001642DE" w:rsidRPr="00B37E57">
            <w:rPr>
              <w:noProof/>
              <w:lang w:eastAsia="en-GB"/>
            </w:rPr>
            <w:t xml:space="preserve">le </w:t>
          </w:r>
          <w:r w:rsidR="00CC5B1D" w:rsidRPr="00B37E57">
            <w:rPr>
              <w:noProof/>
              <w:sz w:val="18"/>
              <w:lang w:eastAsia="en-GB"/>
            </w:rPr>
            <w:t>I</w:t>
          </w:r>
          <w:r w:rsidR="001642DE" w:rsidRPr="00B37E57">
            <w:rPr>
              <w:b/>
              <w:color w:val="FF0000"/>
            </w:rPr>
            <w:t xml:space="preserve"> EMBARGO 10:00 WET/ora Lisabonei</w:t>
          </w:r>
          <w:r w:rsidR="001642DE" w:rsidRPr="00107483" w:rsidDel="001642DE">
            <w:rPr>
              <w:b/>
              <w:noProof/>
              <w:color w:val="003399"/>
              <w:lang w:eastAsia="en-GB"/>
            </w:rPr>
            <w:t xml:space="preserve"> </w:t>
          </w:r>
        </w:p>
      </w:tc>
      <w:tc>
        <w:tcPr>
          <w:tcW w:w="3294" w:type="dxa"/>
          <w:shd w:val="clear" w:color="auto" w:fill="auto"/>
          <w:vAlign w:val="bottom"/>
        </w:tcPr>
        <w:p w:rsidR="00CC5B1D" w:rsidRPr="00107483" w:rsidRDefault="00CC5B1D" w:rsidP="001642DE">
          <w:pPr>
            <w:pStyle w:val="newsReference"/>
            <w:jc w:val="right"/>
          </w:pPr>
          <w:r w:rsidRPr="00107483">
            <w:t>2</w:t>
          </w:r>
          <w:r w:rsidR="001642DE">
            <w:t>7</w:t>
          </w:r>
          <w:r w:rsidRPr="00107483">
            <w:t>.</w:t>
          </w:r>
          <w:r w:rsidR="001642DE">
            <w:t>5</w:t>
          </w:r>
          <w:r w:rsidRPr="00107483">
            <w:t>.201</w:t>
          </w:r>
          <w:r w:rsidR="001642DE">
            <w:t>4</w:t>
          </w:r>
        </w:p>
      </w:tc>
    </w:tr>
  </w:tbl>
  <w:p w:rsidR="00CC5B1D" w:rsidRDefault="00CC5B1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410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07483"/>
    <w:rsid w:val="00014E8E"/>
    <w:rsid w:val="00025C96"/>
    <w:rsid w:val="00036DAA"/>
    <w:rsid w:val="00042EDA"/>
    <w:rsid w:val="000535B7"/>
    <w:rsid w:val="00067DD3"/>
    <w:rsid w:val="00075735"/>
    <w:rsid w:val="000B405F"/>
    <w:rsid w:val="000C6200"/>
    <w:rsid w:val="000D25B6"/>
    <w:rsid w:val="00105BFC"/>
    <w:rsid w:val="00107483"/>
    <w:rsid w:val="00107C96"/>
    <w:rsid w:val="0015257B"/>
    <w:rsid w:val="001642DE"/>
    <w:rsid w:val="0017713E"/>
    <w:rsid w:val="001800D0"/>
    <w:rsid w:val="001A3338"/>
    <w:rsid w:val="001C795A"/>
    <w:rsid w:val="001D5C26"/>
    <w:rsid w:val="001E39A7"/>
    <w:rsid w:val="001F70B4"/>
    <w:rsid w:val="002218EB"/>
    <w:rsid w:val="00223753"/>
    <w:rsid w:val="002557B0"/>
    <w:rsid w:val="00261153"/>
    <w:rsid w:val="002646E4"/>
    <w:rsid w:val="0027252D"/>
    <w:rsid w:val="0028141E"/>
    <w:rsid w:val="002948E2"/>
    <w:rsid w:val="002A52CE"/>
    <w:rsid w:val="002A61F7"/>
    <w:rsid w:val="002B05CE"/>
    <w:rsid w:val="002B45AC"/>
    <w:rsid w:val="002C5771"/>
    <w:rsid w:val="0030486D"/>
    <w:rsid w:val="00317B5A"/>
    <w:rsid w:val="0032670B"/>
    <w:rsid w:val="00330B5B"/>
    <w:rsid w:val="0033158E"/>
    <w:rsid w:val="0033441A"/>
    <w:rsid w:val="003371AC"/>
    <w:rsid w:val="00351881"/>
    <w:rsid w:val="0036121D"/>
    <w:rsid w:val="003827B8"/>
    <w:rsid w:val="00387D02"/>
    <w:rsid w:val="003B41B1"/>
    <w:rsid w:val="003C0395"/>
    <w:rsid w:val="003D0487"/>
    <w:rsid w:val="004137B0"/>
    <w:rsid w:val="004221D3"/>
    <w:rsid w:val="0044111C"/>
    <w:rsid w:val="00445080"/>
    <w:rsid w:val="0045468D"/>
    <w:rsid w:val="0046179A"/>
    <w:rsid w:val="00474AC8"/>
    <w:rsid w:val="004847FB"/>
    <w:rsid w:val="00485838"/>
    <w:rsid w:val="004C1F92"/>
    <w:rsid w:val="004C3028"/>
    <w:rsid w:val="004D6E0C"/>
    <w:rsid w:val="00520EF1"/>
    <w:rsid w:val="00541A97"/>
    <w:rsid w:val="00542CEE"/>
    <w:rsid w:val="00567B17"/>
    <w:rsid w:val="005A0DC8"/>
    <w:rsid w:val="005B05A0"/>
    <w:rsid w:val="005B0882"/>
    <w:rsid w:val="005B1B63"/>
    <w:rsid w:val="005B61DA"/>
    <w:rsid w:val="005C4033"/>
    <w:rsid w:val="005E734D"/>
    <w:rsid w:val="00601EAE"/>
    <w:rsid w:val="006116D9"/>
    <w:rsid w:val="00623A55"/>
    <w:rsid w:val="0063677C"/>
    <w:rsid w:val="006568FE"/>
    <w:rsid w:val="00666A63"/>
    <w:rsid w:val="00670BC4"/>
    <w:rsid w:val="0067286B"/>
    <w:rsid w:val="0069096E"/>
    <w:rsid w:val="006C70A0"/>
    <w:rsid w:val="006D3D4E"/>
    <w:rsid w:val="007003A8"/>
    <w:rsid w:val="00730132"/>
    <w:rsid w:val="00737455"/>
    <w:rsid w:val="00773814"/>
    <w:rsid w:val="00791F09"/>
    <w:rsid w:val="007920E3"/>
    <w:rsid w:val="007927D2"/>
    <w:rsid w:val="007B0E03"/>
    <w:rsid w:val="007B1CCD"/>
    <w:rsid w:val="007C6370"/>
    <w:rsid w:val="007F0EAD"/>
    <w:rsid w:val="00813FB5"/>
    <w:rsid w:val="0081623D"/>
    <w:rsid w:val="00824DD4"/>
    <w:rsid w:val="00826CFF"/>
    <w:rsid w:val="00837F8F"/>
    <w:rsid w:val="00841E86"/>
    <w:rsid w:val="00860C28"/>
    <w:rsid w:val="00865406"/>
    <w:rsid w:val="00875018"/>
    <w:rsid w:val="00881730"/>
    <w:rsid w:val="008A0583"/>
    <w:rsid w:val="008C1172"/>
    <w:rsid w:val="008D54B3"/>
    <w:rsid w:val="008F177B"/>
    <w:rsid w:val="008F399E"/>
    <w:rsid w:val="00902300"/>
    <w:rsid w:val="00913C82"/>
    <w:rsid w:val="00930F8E"/>
    <w:rsid w:val="00936C17"/>
    <w:rsid w:val="00944227"/>
    <w:rsid w:val="00955F0C"/>
    <w:rsid w:val="00974A27"/>
    <w:rsid w:val="009A28FB"/>
    <w:rsid w:val="009C5DCD"/>
    <w:rsid w:val="009D6255"/>
    <w:rsid w:val="009E25FB"/>
    <w:rsid w:val="00A03329"/>
    <w:rsid w:val="00A0788A"/>
    <w:rsid w:val="00A27289"/>
    <w:rsid w:val="00A311EF"/>
    <w:rsid w:val="00A3254D"/>
    <w:rsid w:val="00A6132B"/>
    <w:rsid w:val="00A661E2"/>
    <w:rsid w:val="00A843D2"/>
    <w:rsid w:val="00A856B7"/>
    <w:rsid w:val="00A947A7"/>
    <w:rsid w:val="00AA420B"/>
    <w:rsid w:val="00AD7BFC"/>
    <w:rsid w:val="00AE093C"/>
    <w:rsid w:val="00AE1738"/>
    <w:rsid w:val="00AF13B3"/>
    <w:rsid w:val="00AF259D"/>
    <w:rsid w:val="00B11B73"/>
    <w:rsid w:val="00B272F1"/>
    <w:rsid w:val="00B37E57"/>
    <w:rsid w:val="00B44980"/>
    <w:rsid w:val="00B51E08"/>
    <w:rsid w:val="00B57464"/>
    <w:rsid w:val="00B61036"/>
    <w:rsid w:val="00B638A0"/>
    <w:rsid w:val="00B72DD3"/>
    <w:rsid w:val="00B7335C"/>
    <w:rsid w:val="00B97BC5"/>
    <w:rsid w:val="00BB60CF"/>
    <w:rsid w:val="00BC2F1F"/>
    <w:rsid w:val="00BD730E"/>
    <w:rsid w:val="00BF1E3B"/>
    <w:rsid w:val="00C2247B"/>
    <w:rsid w:val="00C36BC1"/>
    <w:rsid w:val="00C426F8"/>
    <w:rsid w:val="00C501A4"/>
    <w:rsid w:val="00C628C4"/>
    <w:rsid w:val="00C63254"/>
    <w:rsid w:val="00C874C0"/>
    <w:rsid w:val="00CA2FF5"/>
    <w:rsid w:val="00CB49DA"/>
    <w:rsid w:val="00CC4FDA"/>
    <w:rsid w:val="00CC5B1D"/>
    <w:rsid w:val="00CC6A8B"/>
    <w:rsid w:val="00CF1D2A"/>
    <w:rsid w:val="00D01335"/>
    <w:rsid w:val="00D03EC6"/>
    <w:rsid w:val="00D3312B"/>
    <w:rsid w:val="00D37865"/>
    <w:rsid w:val="00D57367"/>
    <w:rsid w:val="00D84AE3"/>
    <w:rsid w:val="00D92A34"/>
    <w:rsid w:val="00DC485E"/>
    <w:rsid w:val="00DF39B6"/>
    <w:rsid w:val="00E21156"/>
    <w:rsid w:val="00E233F5"/>
    <w:rsid w:val="00E403FC"/>
    <w:rsid w:val="00E57C9D"/>
    <w:rsid w:val="00E66CCD"/>
    <w:rsid w:val="00E76AD8"/>
    <w:rsid w:val="00E81F3D"/>
    <w:rsid w:val="00E83FC3"/>
    <w:rsid w:val="00E84EB5"/>
    <w:rsid w:val="00EA5AED"/>
    <w:rsid w:val="00EE23CC"/>
    <w:rsid w:val="00F06CDE"/>
    <w:rsid w:val="00F21CA9"/>
    <w:rsid w:val="00F24096"/>
    <w:rsid w:val="00F249CD"/>
    <w:rsid w:val="00F336DD"/>
    <w:rsid w:val="00F414EF"/>
    <w:rsid w:val="00F47542"/>
    <w:rsid w:val="00F85945"/>
    <w:rsid w:val="00FB351B"/>
    <w:rsid w:val="00FC0187"/>
    <w:rsid w:val="00FE3721"/>
    <w:rsid w:val="00FE4789"/>
    <w:rsid w:val="00FE51CE"/>
    <w:rsid w:val="00FF1720"/>
    <w:rsid w:val="00FF1C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4980"/>
    <w:pPr>
      <w:spacing w:after="200" w:line="276" w:lineRule="auto"/>
    </w:pPr>
    <w:rPr>
      <w:sz w:val="22"/>
      <w:szCs w:val="22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2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A28FB"/>
    <w:rPr>
      <w:rFonts w:ascii="Tahoma" w:hAnsi="Tahoma" w:cs="Tahoma"/>
      <w:sz w:val="16"/>
      <w:szCs w:val="16"/>
    </w:rPr>
  </w:style>
  <w:style w:type="paragraph" w:customStyle="1" w:styleId="newsTitle">
    <w:name w:val="newsTitle"/>
    <w:basedOn w:val="Normal"/>
    <w:autoRedefine/>
    <w:qFormat/>
    <w:rsid w:val="001642DE"/>
    <w:pPr>
      <w:tabs>
        <w:tab w:val="left" w:pos="5205"/>
      </w:tabs>
      <w:spacing w:before="480" w:after="112" w:line="300" w:lineRule="exact"/>
    </w:pPr>
    <w:rPr>
      <w:rFonts w:ascii="Arial" w:hAnsi="Arial"/>
      <w:cap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E37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3721"/>
  </w:style>
  <w:style w:type="paragraph" w:styleId="Footer">
    <w:name w:val="footer"/>
    <w:basedOn w:val="Normal"/>
    <w:link w:val="FooterChar"/>
    <w:uiPriority w:val="99"/>
    <w:unhideWhenUsed/>
    <w:rsid w:val="009A28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28FB"/>
  </w:style>
  <w:style w:type="character" w:styleId="Hyperlink">
    <w:name w:val="Hyperlink"/>
    <w:uiPriority w:val="99"/>
    <w:unhideWhenUsed/>
    <w:qFormat/>
    <w:rsid w:val="00A661E2"/>
    <w:rPr>
      <w:rFonts w:ascii="Arial" w:hAnsi="Arial"/>
      <w:b w:val="0"/>
      <w:i w:val="0"/>
      <w:color w:val="003399"/>
      <w:sz w:val="17"/>
      <w:u w:val="none"/>
    </w:rPr>
  </w:style>
  <w:style w:type="paragraph" w:customStyle="1" w:styleId="newsSubTitle">
    <w:name w:val="newsSubTitle"/>
    <w:basedOn w:val="Normal"/>
    <w:autoRedefine/>
    <w:qFormat/>
    <w:rsid w:val="001642DE"/>
    <w:pPr>
      <w:spacing w:after="300" w:line="300" w:lineRule="exact"/>
    </w:pPr>
    <w:rPr>
      <w:rFonts w:ascii="Arial" w:hAnsi="Arial"/>
      <w:b/>
      <w:sz w:val="24"/>
      <w:szCs w:val="24"/>
    </w:rPr>
  </w:style>
  <w:style w:type="paragraph" w:customStyle="1" w:styleId="newsContent">
    <w:name w:val="newsContent"/>
    <w:basedOn w:val="Normal"/>
    <w:link w:val="newsContentChar"/>
    <w:autoRedefine/>
    <w:qFormat/>
    <w:rsid w:val="00BD730E"/>
    <w:pPr>
      <w:spacing w:after="260" w:line="260" w:lineRule="exact"/>
    </w:pPr>
    <w:rPr>
      <w:rFonts w:ascii="Arial" w:hAnsi="Arial"/>
      <w:color w:val="000000"/>
      <w:sz w:val="20"/>
    </w:rPr>
  </w:style>
  <w:style w:type="paragraph" w:customStyle="1" w:styleId="newsAddress">
    <w:name w:val="newsAddress"/>
    <w:basedOn w:val="Footer"/>
    <w:autoRedefine/>
    <w:qFormat/>
    <w:rsid w:val="00FE3721"/>
    <w:pPr>
      <w:framePr w:wrap="around" w:vAnchor="text" w:hAnchor="page" w:x="852" w:y="1"/>
      <w:tabs>
        <w:tab w:val="clear" w:pos="9072"/>
        <w:tab w:val="right" w:pos="7371"/>
      </w:tabs>
      <w:spacing w:line="200" w:lineRule="exact"/>
    </w:pPr>
    <w:rPr>
      <w:rFonts w:ascii="Arial" w:hAnsi="Arial"/>
      <w:sz w:val="14"/>
    </w:rPr>
  </w:style>
  <w:style w:type="paragraph" w:customStyle="1" w:styleId="newsReference">
    <w:name w:val="newsReference"/>
    <w:basedOn w:val="Normal"/>
    <w:autoRedefine/>
    <w:qFormat/>
    <w:rsid w:val="00BD730E"/>
    <w:pPr>
      <w:spacing w:after="0" w:line="200" w:lineRule="exact"/>
    </w:pPr>
    <w:rPr>
      <w:rFonts w:ascii="Arial" w:hAnsi="Arial"/>
      <w:sz w:val="14"/>
    </w:rPr>
  </w:style>
  <w:style w:type="paragraph" w:customStyle="1" w:styleId="newsRef">
    <w:name w:val="newsRef"/>
    <w:basedOn w:val="newsAddress"/>
    <w:autoRedefine/>
    <w:qFormat/>
    <w:rsid w:val="00B97BC5"/>
    <w:pPr>
      <w:framePr w:wrap="around"/>
      <w:tabs>
        <w:tab w:val="clear" w:pos="4536"/>
        <w:tab w:val="right" w:pos="6946"/>
        <w:tab w:val="left" w:pos="8505"/>
      </w:tabs>
      <w:ind w:right="-569"/>
    </w:pPr>
  </w:style>
  <w:style w:type="character" w:styleId="PlaceholderText">
    <w:name w:val="Placeholder Text"/>
    <w:uiPriority w:val="99"/>
    <w:semiHidden/>
    <w:rsid w:val="00730132"/>
    <w:rPr>
      <w:color w:val="808080"/>
    </w:rPr>
  </w:style>
  <w:style w:type="paragraph" w:customStyle="1" w:styleId="newsCoordinates">
    <w:name w:val="newsCoordinates"/>
    <w:basedOn w:val="Footer"/>
    <w:autoRedefine/>
    <w:qFormat/>
    <w:rsid w:val="00BD730E"/>
    <w:pPr>
      <w:tabs>
        <w:tab w:val="clear" w:pos="9072"/>
        <w:tab w:val="right" w:pos="8222"/>
      </w:tabs>
      <w:spacing w:line="200" w:lineRule="exact"/>
      <w:ind w:left="84"/>
    </w:pPr>
    <w:rPr>
      <w:rFonts w:ascii="Arial" w:hAnsi="Arial"/>
      <w:sz w:val="14"/>
    </w:rPr>
  </w:style>
  <w:style w:type="paragraph" w:customStyle="1" w:styleId="newsEmbargo">
    <w:name w:val="newsEmbargo"/>
    <w:basedOn w:val="newsCoordinates"/>
    <w:autoRedefine/>
    <w:qFormat/>
    <w:rsid w:val="00BD730E"/>
    <w:rPr>
      <w:color w:val="000000"/>
      <w:sz w:val="15"/>
    </w:rPr>
  </w:style>
  <w:style w:type="paragraph" w:customStyle="1" w:styleId="newsDate">
    <w:name w:val="newsDate"/>
    <w:basedOn w:val="newsEmbargo"/>
    <w:autoRedefine/>
    <w:qFormat/>
    <w:rsid w:val="00B97BC5"/>
    <w:pPr>
      <w:jc w:val="center"/>
    </w:pPr>
  </w:style>
  <w:style w:type="paragraph" w:customStyle="1" w:styleId="newsNotes">
    <w:name w:val="newsNotes"/>
    <w:basedOn w:val="newsContent"/>
    <w:link w:val="newsNotesChar"/>
    <w:autoRedefine/>
    <w:qFormat/>
    <w:rsid w:val="00BD730E"/>
    <w:pPr>
      <w:spacing w:after="0" w:line="220" w:lineRule="exact"/>
    </w:pPr>
    <w:rPr>
      <w:color w:val="auto"/>
      <w:sz w:val="17"/>
    </w:rPr>
  </w:style>
  <w:style w:type="table" w:styleId="TableGrid">
    <w:name w:val="Table Grid"/>
    <w:basedOn w:val="TableNormal"/>
    <w:uiPriority w:val="59"/>
    <w:rsid w:val="00FE47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box">
    <w:name w:val="Textbox"/>
    <w:rsid w:val="00D84AE3"/>
    <w:rPr>
      <w:rFonts w:ascii="Comic Sans MS" w:eastAsia="Times New Roman" w:hAnsi="Comic Sans MS"/>
      <w:color w:val="0000FF"/>
      <w:sz w:val="24"/>
    </w:rPr>
  </w:style>
  <w:style w:type="paragraph" w:customStyle="1" w:styleId="newsNotesNumber">
    <w:name w:val="newsNotesNumber"/>
    <w:basedOn w:val="newsNotes"/>
    <w:next w:val="Normal"/>
    <w:link w:val="newsNotesNumberChar"/>
    <w:autoRedefine/>
    <w:qFormat/>
    <w:rsid w:val="00CB49DA"/>
    <w:rPr>
      <w:vertAlign w:val="superscript"/>
    </w:rPr>
  </w:style>
  <w:style w:type="character" w:customStyle="1" w:styleId="newsContentChar">
    <w:name w:val="newsContent Char"/>
    <w:link w:val="newsContent"/>
    <w:rsid w:val="00BD730E"/>
    <w:rPr>
      <w:rFonts w:ascii="Arial" w:hAnsi="Arial"/>
      <w:color w:val="000000"/>
      <w:sz w:val="20"/>
      <w:lang w:val="ro-RO"/>
    </w:rPr>
  </w:style>
  <w:style w:type="character" w:customStyle="1" w:styleId="newsNotesChar">
    <w:name w:val="newsNotes Char"/>
    <w:link w:val="newsNotes"/>
    <w:rsid w:val="00BD730E"/>
    <w:rPr>
      <w:rFonts w:ascii="Arial" w:hAnsi="Arial"/>
      <w:color w:val="000000"/>
      <w:sz w:val="17"/>
      <w:lang w:val="ro-RO"/>
    </w:rPr>
  </w:style>
  <w:style w:type="character" w:customStyle="1" w:styleId="newsNotesNumberChar">
    <w:name w:val="newsNotesNumber Char"/>
    <w:link w:val="newsNotesNumber"/>
    <w:rsid w:val="00CB49DA"/>
    <w:rPr>
      <w:rFonts w:ascii="Arial" w:hAnsi="Arial"/>
      <w:color w:val="000000"/>
      <w:sz w:val="17"/>
      <w:vertAlign w:val="superscript"/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2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A28FB"/>
    <w:rPr>
      <w:rFonts w:ascii="Tahoma" w:hAnsi="Tahoma" w:cs="Tahoma"/>
      <w:sz w:val="16"/>
      <w:szCs w:val="16"/>
    </w:rPr>
  </w:style>
  <w:style w:type="paragraph" w:customStyle="1" w:styleId="newsTitle">
    <w:name w:val="newsTitle"/>
    <w:basedOn w:val="Normal"/>
    <w:autoRedefine/>
    <w:qFormat/>
    <w:rsid w:val="00BD730E"/>
    <w:pPr>
      <w:tabs>
        <w:tab w:val="left" w:pos="5205"/>
      </w:tabs>
      <w:spacing w:before="480" w:after="112" w:line="300" w:lineRule="exact"/>
    </w:pPr>
    <w:rPr>
      <w:rFonts w:ascii="Arial" w:hAnsi="Arial"/>
      <w:caps/>
      <w:sz w:val="26"/>
    </w:rPr>
  </w:style>
  <w:style w:type="paragraph" w:styleId="Header">
    <w:name w:val="header"/>
    <w:basedOn w:val="Normal"/>
    <w:link w:val="HeaderChar"/>
    <w:uiPriority w:val="99"/>
    <w:unhideWhenUsed/>
    <w:rsid w:val="00FE37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3721"/>
  </w:style>
  <w:style w:type="paragraph" w:styleId="Footer">
    <w:name w:val="footer"/>
    <w:basedOn w:val="Normal"/>
    <w:link w:val="FooterChar"/>
    <w:uiPriority w:val="99"/>
    <w:unhideWhenUsed/>
    <w:rsid w:val="009A28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28FB"/>
  </w:style>
  <w:style w:type="character" w:styleId="Hyperlink">
    <w:name w:val="Hyperlink"/>
    <w:uiPriority w:val="99"/>
    <w:unhideWhenUsed/>
    <w:qFormat/>
    <w:rsid w:val="00A661E2"/>
    <w:rPr>
      <w:rFonts w:ascii="Arial" w:hAnsi="Arial"/>
      <w:b w:val="0"/>
      <w:i w:val="0"/>
      <w:color w:val="003399"/>
      <w:sz w:val="17"/>
      <w:u w:val="none"/>
    </w:rPr>
  </w:style>
  <w:style w:type="paragraph" w:customStyle="1" w:styleId="newsSubTitle">
    <w:name w:val="newsSubTitle"/>
    <w:basedOn w:val="Normal"/>
    <w:autoRedefine/>
    <w:qFormat/>
    <w:rsid w:val="00BD730E"/>
    <w:pPr>
      <w:spacing w:after="300" w:line="300" w:lineRule="exact"/>
    </w:pPr>
    <w:rPr>
      <w:rFonts w:ascii="Arial" w:hAnsi="Arial"/>
      <w:b/>
      <w:sz w:val="26"/>
    </w:rPr>
  </w:style>
  <w:style w:type="paragraph" w:customStyle="1" w:styleId="newsContent">
    <w:name w:val="newsContent"/>
    <w:basedOn w:val="Normal"/>
    <w:link w:val="newsContentChar"/>
    <w:autoRedefine/>
    <w:qFormat/>
    <w:rsid w:val="00BD730E"/>
    <w:pPr>
      <w:spacing w:after="260" w:line="260" w:lineRule="exact"/>
    </w:pPr>
    <w:rPr>
      <w:rFonts w:ascii="Arial" w:hAnsi="Arial"/>
      <w:color w:val="000000"/>
      <w:sz w:val="20"/>
    </w:rPr>
  </w:style>
  <w:style w:type="paragraph" w:customStyle="1" w:styleId="newsAddress">
    <w:name w:val="newsAddress"/>
    <w:basedOn w:val="Footer"/>
    <w:autoRedefine/>
    <w:qFormat/>
    <w:rsid w:val="00FE3721"/>
    <w:pPr>
      <w:framePr w:wrap="around" w:vAnchor="text" w:hAnchor="page" w:x="852" w:y="1"/>
      <w:tabs>
        <w:tab w:val="clear" w:pos="9072"/>
        <w:tab w:val="right" w:pos="7371"/>
      </w:tabs>
      <w:spacing w:line="200" w:lineRule="exact"/>
    </w:pPr>
    <w:rPr>
      <w:rFonts w:ascii="Arial" w:hAnsi="Arial"/>
      <w:sz w:val="14"/>
    </w:rPr>
  </w:style>
  <w:style w:type="paragraph" w:customStyle="1" w:styleId="newsReference">
    <w:name w:val="newsReference"/>
    <w:basedOn w:val="Normal"/>
    <w:autoRedefine/>
    <w:qFormat/>
    <w:rsid w:val="00BD730E"/>
    <w:pPr>
      <w:spacing w:after="0" w:line="200" w:lineRule="exact"/>
    </w:pPr>
    <w:rPr>
      <w:rFonts w:ascii="Arial" w:hAnsi="Arial"/>
      <w:sz w:val="14"/>
    </w:rPr>
  </w:style>
  <w:style w:type="paragraph" w:customStyle="1" w:styleId="newsRef">
    <w:name w:val="newsRef"/>
    <w:basedOn w:val="newsAddress"/>
    <w:autoRedefine/>
    <w:qFormat/>
    <w:rsid w:val="00B97BC5"/>
    <w:pPr>
      <w:framePr w:wrap="around"/>
      <w:tabs>
        <w:tab w:val="clear" w:pos="4536"/>
        <w:tab w:val="right" w:pos="6946"/>
        <w:tab w:val="left" w:pos="8505"/>
      </w:tabs>
      <w:ind w:right="-569"/>
    </w:pPr>
  </w:style>
  <w:style w:type="character" w:styleId="PlaceholderText">
    <w:name w:val="Placeholder Text"/>
    <w:uiPriority w:val="99"/>
    <w:semiHidden/>
    <w:rsid w:val="00730132"/>
    <w:rPr>
      <w:color w:val="808080"/>
    </w:rPr>
  </w:style>
  <w:style w:type="paragraph" w:customStyle="1" w:styleId="newsCoordinates">
    <w:name w:val="newsCoordinates"/>
    <w:basedOn w:val="Footer"/>
    <w:autoRedefine/>
    <w:qFormat/>
    <w:rsid w:val="00BD730E"/>
    <w:pPr>
      <w:tabs>
        <w:tab w:val="clear" w:pos="9072"/>
        <w:tab w:val="right" w:pos="8222"/>
      </w:tabs>
      <w:spacing w:line="200" w:lineRule="exact"/>
      <w:ind w:left="84"/>
    </w:pPr>
    <w:rPr>
      <w:rFonts w:ascii="Arial" w:hAnsi="Arial"/>
      <w:sz w:val="14"/>
    </w:rPr>
  </w:style>
  <w:style w:type="paragraph" w:customStyle="1" w:styleId="newsEmbargo">
    <w:name w:val="newsEmbargo"/>
    <w:basedOn w:val="newsCoordinates"/>
    <w:autoRedefine/>
    <w:qFormat/>
    <w:rsid w:val="00BD730E"/>
    <w:rPr>
      <w:color w:val="000000"/>
      <w:sz w:val="15"/>
    </w:rPr>
  </w:style>
  <w:style w:type="paragraph" w:customStyle="1" w:styleId="newsDate">
    <w:name w:val="newsDate"/>
    <w:basedOn w:val="newsEmbargo"/>
    <w:autoRedefine/>
    <w:qFormat/>
    <w:rsid w:val="00B97BC5"/>
    <w:pPr>
      <w:jc w:val="center"/>
    </w:pPr>
  </w:style>
  <w:style w:type="paragraph" w:customStyle="1" w:styleId="newsNotes">
    <w:name w:val="newsNotes"/>
    <w:basedOn w:val="newsContent"/>
    <w:link w:val="newsNotesChar"/>
    <w:autoRedefine/>
    <w:qFormat/>
    <w:rsid w:val="00BD730E"/>
    <w:pPr>
      <w:spacing w:after="0" w:line="220" w:lineRule="exact"/>
    </w:pPr>
    <w:rPr>
      <w:color w:val="auto"/>
      <w:sz w:val="17"/>
    </w:rPr>
  </w:style>
  <w:style w:type="table" w:styleId="TableGrid">
    <w:name w:val="Table Grid"/>
    <w:basedOn w:val="TableNormal"/>
    <w:uiPriority w:val="59"/>
    <w:rsid w:val="00FE47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box">
    <w:name w:val="Textbox"/>
    <w:rsid w:val="00D84AE3"/>
    <w:rPr>
      <w:rFonts w:ascii="Comic Sans MS" w:eastAsia="Times New Roman" w:hAnsi="Comic Sans MS"/>
      <w:color w:val="0000FF"/>
      <w:sz w:val="24"/>
    </w:rPr>
  </w:style>
  <w:style w:type="paragraph" w:customStyle="1" w:styleId="newsNotesNumber">
    <w:name w:val="newsNotesNumber"/>
    <w:basedOn w:val="newsNotes"/>
    <w:next w:val="Normal"/>
    <w:link w:val="newsNotesNumberChar"/>
    <w:autoRedefine/>
    <w:qFormat/>
    <w:rsid w:val="00CB49DA"/>
    <w:rPr>
      <w:vertAlign w:val="superscript"/>
    </w:rPr>
  </w:style>
  <w:style w:type="character" w:customStyle="1" w:styleId="newsContentChar">
    <w:name w:val="newsContent Char"/>
    <w:link w:val="newsContent"/>
    <w:rsid w:val="00BD730E"/>
    <w:rPr>
      <w:rFonts w:ascii="Arial" w:hAnsi="Arial"/>
      <w:color w:val="000000"/>
      <w:sz w:val="20"/>
      <w:lang w:val="ro-RO"/>
    </w:rPr>
  </w:style>
  <w:style w:type="character" w:customStyle="1" w:styleId="newsNotesChar">
    <w:name w:val="newsNotes Char"/>
    <w:link w:val="newsNotes"/>
    <w:rsid w:val="00BD730E"/>
    <w:rPr>
      <w:rFonts w:ascii="Arial" w:hAnsi="Arial"/>
      <w:color w:val="000000"/>
      <w:sz w:val="17"/>
      <w:lang w:val="ro-RO"/>
    </w:rPr>
  </w:style>
  <w:style w:type="character" w:customStyle="1" w:styleId="newsNotesNumberChar">
    <w:name w:val="newsNotesNumber Char"/>
    <w:link w:val="newsNotesNumber"/>
    <w:rsid w:val="00CB49DA"/>
    <w:rPr>
      <w:rFonts w:ascii="Arial" w:hAnsi="Arial"/>
      <w:color w:val="000000"/>
      <w:sz w:val="17"/>
      <w:vertAlign w:val="superscript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04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1_DESKTOP\2_WORK\3a_cdt\2014\3_mai\140514_dana\ref\news-release-RO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news-release-RO</Template>
  <TotalTime>23</TotalTime>
  <Pages>3</Pages>
  <Words>1547</Words>
  <Characters>8824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News release RO</vt:lpstr>
    </vt:vector>
  </TitlesOfParts>
  <Manager>EMCDDA</Manager>
  <Company>Translation Centre</Company>
  <LinksUpToDate>false</LinksUpToDate>
  <CharactersWithSpaces>10351</CharactersWithSpaces>
  <SharedDoc>false</SharedDoc>
  <HLinks>
    <vt:vector size="6" baseType="variant">
      <vt:variant>
        <vt:i4>1572891</vt:i4>
      </vt:variant>
      <vt:variant>
        <vt:i4>0</vt:i4>
      </vt:variant>
      <vt:variant>
        <vt:i4>0</vt:i4>
      </vt:variant>
      <vt:variant>
        <vt:i4>5</vt:i4>
      </vt:variant>
      <vt:variant>
        <vt:lpwstr>../../../yunaC/Documents/www.emcdda.europa.eu/edr2014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 release RO</dc:title>
  <dc:subject>News release RO</dc:subject>
  <dc:creator>Translation Centre</dc:creator>
  <cp:keywords/>
  <cp:lastModifiedBy>Kathryn Robertson</cp:lastModifiedBy>
  <cp:revision>15</cp:revision>
  <cp:lastPrinted>2014-05-22T08:21:00Z</cp:lastPrinted>
  <dcterms:created xsi:type="dcterms:W3CDTF">2014-05-20T05:56:00Z</dcterms:created>
  <dcterms:modified xsi:type="dcterms:W3CDTF">2014-05-22T08:21:00Z</dcterms:modified>
  <cp:category>News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ganisation">
    <vt:lpwstr>EMCDDA</vt:lpwstr>
  </property>
  <property fmtid="{D5CDD505-2E9C-101B-9397-08002B2CF9AE}" pid="3" name="Editor">
    <vt:lpwstr>EMCDDA</vt:lpwstr>
  </property>
  <property fmtid="{D5CDD505-2E9C-101B-9397-08002B2CF9AE}" pid="4" name="Language">
    <vt:lpwstr>RO</vt:lpwstr>
  </property>
</Properties>
</file>