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page" w:tblpX="738" w:tblpY="738"/>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RPr="00655764" w:rsidTr="00025C96">
        <w:trPr>
          <w:trHeight w:val="1695"/>
        </w:trPr>
        <w:tc>
          <w:tcPr>
            <w:tcW w:w="2331" w:type="pct"/>
          </w:tcPr>
          <w:p w:rsidR="00EE23CC" w:rsidRPr="00655764" w:rsidRDefault="00EE23CC" w:rsidP="00025C96">
            <w:r w:rsidRPr="00655764">
              <w:rPr>
                <w:noProof/>
                <w:lang w:val="en-GB" w:eastAsia="en-GB"/>
              </w:rPr>
              <w:drawing>
                <wp:inline distT="0" distB="0" distL="0" distR="0" wp14:anchorId="33F3391A" wp14:editId="14E26AFF">
                  <wp:extent cx="2661000"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000" cy="612000"/>
                          </a:xfrm>
                          <a:prstGeom prst="rect">
                            <a:avLst/>
                          </a:prstGeom>
                          <a:noFill/>
                          <a:ln>
                            <a:noFill/>
                          </a:ln>
                        </pic:spPr>
                      </pic:pic>
                    </a:graphicData>
                  </a:graphic>
                </wp:inline>
              </w:drawing>
            </w:r>
          </w:p>
        </w:tc>
        <w:tc>
          <w:tcPr>
            <w:tcW w:w="2669" w:type="pct"/>
          </w:tcPr>
          <w:p w:rsidR="00EE23CC" w:rsidRPr="00655764" w:rsidRDefault="00EE23CC" w:rsidP="00025C96"/>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RPr="00655764" w:rsidTr="001F70B4">
        <w:trPr>
          <w:trHeight w:val="1304"/>
        </w:trPr>
        <w:tc>
          <w:tcPr>
            <w:tcW w:w="12796" w:type="dxa"/>
            <w:vAlign w:val="bottom"/>
          </w:tcPr>
          <w:p w:rsidR="00EE23CC" w:rsidRPr="00655764" w:rsidRDefault="001F70B4" w:rsidP="001F70B4">
            <w:r w:rsidRPr="00655764">
              <w:rPr>
                <w:noProof/>
                <w:lang w:val="en-GB" w:eastAsia="en-GB"/>
              </w:rPr>
              <w:drawing>
                <wp:inline distT="0" distB="0" distL="0" distR="0" wp14:anchorId="4D2F763A" wp14:editId="30D774C0">
                  <wp:extent cx="7562850" cy="9209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850" cy="920959"/>
                          </a:xfrm>
                          <a:prstGeom prst="rect">
                            <a:avLst/>
                          </a:prstGeom>
                        </pic:spPr>
                      </pic:pic>
                    </a:graphicData>
                  </a:graphic>
                </wp:inline>
              </w:drawing>
            </w:r>
          </w:p>
        </w:tc>
      </w:tr>
    </w:tbl>
    <w:p w:rsidR="00E13BE1" w:rsidRPr="00416F1E" w:rsidRDefault="00E13BE1" w:rsidP="00416F1E">
      <w:pPr>
        <w:pStyle w:val="newsTitle"/>
      </w:pPr>
      <w:r w:rsidRPr="00416F1E">
        <w:t xml:space="preserve">EVROPSKO PoroČilo o drogah 2014 — </w:t>
      </w:r>
      <w:r w:rsidRPr="00416F1E">
        <w:rPr>
          <w:bCs/>
        </w:rPr>
        <w:t>Perspektive na področju drog</w:t>
      </w:r>
    </w:p>
    <w:p w:rsidR="00E13BE1" w:rsidRPr="00416F1E" w:rsidRDefault="00E13BE1" w:rsidP="00416F1E">
      <w:pPr>
        <w:pStyle w:val="newsSubTitle"/>
      </w:pPr>
      <w:r w:rsidRPr="00416F1E">
        <w:t>Agencija EU za droge z novimi spletnimi analizami v središče pozornosti postavlja šest tem</w:t>
      </w:r>
    </w:p>
    <w:p w:rsidR="00E13BE1" w:rsidRPr="00416F1E" w:rsidRDefault="00E13BE1" w:rsidP="00416F1E">
      <w:pPr>
        <w:rPr>
          <w:rFonts w:ascii="Arial" w:hAnsi="Arial" w:cs="Arial"/>
          <w:sz w:val="20"/>
          <w:szCs w:val="20"/>
        </w:rPr>
      </w:pPr>
      <w:r w:rsidRPr="00416F1E">
        <w:rPr>
          <w:rFonts w:ascii="Arial" w:hAnsi="Arial" w:cs="Arial"/>
          <w:sz w:val="20"/>
          <w:szCs w:val="20"/>
        </w:rPr>
        <w:t xml:space="preserve">(27. 5. 2014, LIZBONA </w:t>
      </w:r>
      <w:r w:rsidRPr="00416F1E">
        <w:rPr>
          <w:rFonts w:ascii="Arial" w:hAnsi="Arial" w:cs="Arial"/>
          <w:b/>
          <w:color w:val="FF0000"/>
          <w:sz w:val="20"/>
          <w:szCs w:val="20"/>
        </w:rPr>
        <w:t xml:space="preserve">PREPOVED OBJAVE DO 10. URE </w:t>
      </w:r>
      <w:r w:rsidRPr="00416F1E">
        <w:rPr>
          <w:rFonts w:ascii="Arial" w:hAnsi="Arial" w:cs="Arial"/>
          <w:b/>
          <w:bCs/>
          <w:color w:val="FF0000"/>
          <w:sz w:val="20"/>
          <w:szCs w:val="20"/>
        </w:rPr>
        <w:t>PO ZAHODNOEVROPSKEM ČASU/LIZBONSKEM ČASU</w:t>
      </w:r>
      <w:r w:rsidRPr="00416F1E">
        <w:rPr>
          <w:rFonts w:ascii="Arial" w:hAnsi="Arial" w:cs="Arial"/>
          <w:sz w:val="20"/>
          <w:szCs w:val="20"/>
        </w:rPr>
        <w:t xml:space="preserve">) </w:t>
      </w:r>
      <w:r w:rsidRPr="00416F1E">
        <w:rPr>
          <w:rFonts w:ascii="Arial" w:hAnsi="Arial" w:cs="Arial"/>
          <w:b/>
          <w:bCs/>
          <w:sz w:val="20"/>
          <w:szCs w:val="20"/>
        </w:rPr>
        <w:t xml:space="preserve">Agencija </w:t>
      </w:r>
      <w:r w:rsidRPr="00416F1E">
        <w:rPr>
          <w:rFonts w:ascii="Arial" w:hAnsi="Arial" w:cs="Arial"/>
          <w:b/>
          <w:sz w:val="20"/>
          <w:szCs w:val="20"/>
        </w:rPr>
        <w:t>EU za droge (EMCDDA)</w:t>
      </w:r>
      <w:r w:rsidRPr="00416F1E">
        <w:rPr>
          <w:rFonts w:ascii="Arial" w:hAnsi="Arial" w:cs="Arial"/>
          <w:sz w:val="20"/>
          <w:szCs w:val="20"/>
        </w:rPr>
        <w:t xml:space="preserve"> je danes skupaj s publikacijo </w:t>
      </w:r>
      <w:r w:rsidRPr="00416F1E">
        <w:rPr>
          <w:rFonts w:ascii="Arial" w:hAnsi="Arial" w:cs="Arial"/>
          <w:b/>
          <w:i/>
          <w:sz w:val="20"/>
          <w:szCs w:val="20"/>
        </w:rPr>
        <w:t>Evropsko poročilo o drogah 2014: Trendi in razvoj</w:t>
      </w:r>
      <w:r w:rsidRPr="00416F1E">
        <w:rPr>
          <w:rFonts w:ascii="Arial" w:hAnsi="Arial" w:cs="Arial"/>
          <w:sz w:val="20"/>
          <w:szCs w:val="20"/>
        </w:rPr>
        <w:t xml:space="preserve"> objavila šest novih dodatkov k seriji </w:t>
      </w:r>
      <w:r w:rsidR="00733C66" w:rsidRPr="00416F1E">
        <w:rPr>
          <w:rFonts w:ascii="Arial" w:hAnsi="Arial" w:cs="Arial"/>
          <w:b/>
          <w:sz w:val="20"/>
          <w:szCs w:val="20"/>
        </w:rPr>
        <w:t>Perspektive na področju</w:t>
      </w:r>
      <w:r w:rsidRPr="00416F1E">
        <w:rPr>
          <w:rFonts w:ascii="Arial" w:hAnsi="Arial" w:cs="Arial"/>
          <w:b/>
          <w:sz w:val="20"/>
          <w:szCs w:val="20"/>
        </w:rPr>
        <w:t xml:space="preserve"> drog </w:t>
      </w:r>
      <w:r w:rsidR="00416F1E" w:rsidRPr="00416F1E">
        <w:rPr>
          <w:rFonts w:ascii="Arial" w:hAnsi="Arial" w:cs="Arial"/>
          <w:sz w:val="20"/>
          <w:szCs w:val="20"/>
        </w:rPr>
        <w:t>(</w:t>
      </w:r>
      <w:r w:rsidR="00416F1E" w:rsidRPr="00416F1E">
        <w:rPr>
          <w:rFonts w:ascii="Arial" w:hAnsi="Arial" w:cs="Arial"/>
          <w:i/>
          <w:iCs/>
          <w:sz w:val="20"/>
          <w:szCs w:val="20"/>
        </w:rPr>
        <w:t>Perspectives on drugs</w:t>
      </w:r>
      <w:r w:rsidR="00416F1E" w:rsidRPr="00416F1E">
        <w:rPr>
          <w:rFonts w:ascii="Arial" w:hAnsi="Arial" w:cs="Arial"/>
          <w:sz w:val="20"/>
          <w:szCs w:val="20"/>
        </w:rPr>
        <w:t xml:space="preserve"> – POD).</w:t>
      </w:r>
      <w:r w:rsidR="00416F1E">
        <w:rPr>
          <w:rFonts w:ascii="Arial" w:hAnsi="Arial" w:cs="Arial"/>
          <w:sz w:val="20"/>
          <w:szCs w:val="20"/>
        </w:rPr>
        <w:t xml:space="preserve"> </w:t>
      </w:r>
      <w:r w:rsidRPr="00416F1E">
        <w:rPr>
          <w:rFonts w:ascii="Arial" w:hAnsi="Arial" w:cs="Arial"/>
          <w:sz w:val="20"/>
          <w:szCs w:val="20"/>
        </w:rPr>
        <w:t xml:space="preserve">Ta najnovejši izbor spletnih interaktivnih analiz zagotavlja najsodobnejši pregled ključnih vidikov stanja na področju drog v Evropi. </w:t>
      </w:r>
      <w:r w:rsidR="00733C66" w:rsidRPr="00416F1E">
        <w:rPr>
          <w:rFonts w:ascii="Arial" w:hAnsi="Arial" w:cs="Arial"/>
          <w:sz w:val="20"/>
          <w:szCs w:val="20"/>
        </w:rPr>
        <w:t>Publikacije Perspektive na področju</w:t>
      </w:r>
      <w:r w:rsidRPr="00416F1E">
        <w:rPr>
          <w:rFonts w:ascii="Arial" w:hAnsi="Arial" w:cs="Arial"/>
          <w:sz w:val="20"/>
          <w:szCs w:val="20"/>
        </w:rPr>
        <w:t xml:space="preserve"> drog </w:t>
      </w:r>
      <w:r w:rsidR="000D6E5B" w:rsidRPr="00416F1E">
        <w:rPr>
          <w:rFonts w:ascii="Arial" w:hAnsi="Arial" w:cs="Arial"/>
          <w:sz w:val="20"/>
          <w:szCs w:val="20"/>
        </w:rPr>
        <w:t>obravnavajo</w:t>
      </w:r>
      <w:r w:rsidRPr="00416F1E">
        <w:rPr>
          <w:rFonts w:ascii="Arial" w:hAnsi="Arial" w:cs="Arial"/>
          <w:sz w:val="20"/>
          <w:szCs w:val="20"/>
        </w:rPr>
        <w:t xml:space="preserve"> </w:t>
      </w:r>
      <w:r w:rsidR="00FA5223" w:rsidRPr="00416F1E">
        <w:rPr>
          <w:rFonts w:ascii="Arial" w:hAnsi="Arial" w:cs="Arial"/>
          <w:sz w:val="20"/>
          <w:szCs w:val="20"/>
        </w:rPr>
        <w:t>nastajajočo</w:t>
      </w:r>
      <w:r w:rsidR="00B91C73" w:rsidRPr="00416F1E">
        <w:rPr>
          <w:rFonts w:ascii="Arial" w:hAnsi="Arial" w:cs="Arial"/>
          <w:sz w:val="20"/>
          <w:szCs w:val="20"/>
        </w:rPr>
        <w:t xml:space="preserve"> </w:t>
      </w:r>
      <w:r w:rsidR="00733C66" w:rsidRPr="00416F1E">
        <w:rPr>
          <w:rFonts w:ascii="Arial" w:hAnsi="Arial" w:cs="Arial"/>
          <w:sz w:val="20"/>
          <w:szCs w:val="20"/>
        </w:rPr>
        <w:t>problematiko</w:t>
      </w:r>
      <w:r w:rsidRPr="00416F1E">
        <w:rPr>
          <w:rFonts w:ascii="Arial" w:hAnsi="Arial" w:cs="Arial"/>
          <w:sz w:val="20"/>
          <w:szCs w:val="20"/>
        </w:rPr>
        <w:t xml:space="preserve"> </w:t>
      </w:r>
      <w:r w:rsidR="00EF1466" w:rsidRPr="00416F1E">
        <w:rPr>
          <w:rFonts w:ascii="Arial" w:hAnsi="Arial" w:cs="Arial"/>
          <w:sz w:val="20"/>
          <w:szCs w:val="20"/>
        </w:rPr>
        <w:t>povezano</w:t>
      </w:r>
      <w:r w:rsidRPr="00416F1E">
        <w:rPr>
          <w:rFonts w:ascii="Arial" w:hAnsi="Arial" w:cs="Arial"/>
          <w:sz w:val="20"/>
          <w:szCs w:val="20"/>
        </w:rPr>
        <w:t xml:space="preserve"> z uporabo </w:t>
      </w:r>
      <w:r w:rsidR="00A75BFF" w:rsidRPr="00416F1E">
        <w:rPr>
          <w:rFonts w:ascii="Arial" w:hAnsi="Arial" w:cs="Arial"/>
          <w:sz w:val="20"/>
          <w:szCs w:val="20"/>
        </w:rPr>
        <w:t>stimulansov, najnovejša</w:t>
      </w:r>
      <w:r w:rsidRPr="00416F1E">
        <w:rPr>
          <w:rFonts w:ascii="Arial" w:hAnsi="Arial" w:cs="Arial"/>
          <w:sz w:val="20"/>
          <w:szCs w:val="20"/>
        </w:rPr>
        <w:t xml:space="preserve"> dogajanja</w:t>
      </w:r>
      <w:r w:rsidRPr="00416F1E">
        <w:rPr>
          <w:rFonts w:ascii="Arial" w:hAnsi="Arial" w:cs="Arial"/>
          <w:color w:val="000000"/>
          <w:sz w:val="20"/>
          <w:szCs w:val="20"/>
        </w:rPr>
        <w:t xml:space="preserve"> </w:t>
      </w:r>
      <w:r w:rsidRPr="00416F1E">
        <w:rPr>
          <w:rFonts w:ascii="Arial" w:hAnsi="Arial" w:cs="Arial"/>
          <w:sz w:val="20"/>
          <w:szCs w:val="20"/>
        </w:rPr>
        <w:t>na evropskem trgu konoplje, napredek na področju spletnega zdravljenja in analizo odpadnih voda.</w:t>
      </w:r>
    </w:p>
    <w:p w:rsidR="00E13BE1" w:rsidRPr="008C6A5D" w:rsidRDefault="00E13BE1" w:rsidP="00E13BE1">
      <w:pPr>
        <w:pStyle w:val="newsContent"/>
      </w:pPr>
      <w:r w:rsidRPr="008C6A5D">
        <w:rPr>
          <w:b/>
        </w:rPr>
        <w:t xml:space="preserve">Sintetični katinoni: </w:t>
      </w:r>
      <w:r w:rsidR="004B6FBB">
        <w:rPr>
          <w:b/>
        </w:rPr>
        <w:t>zaskr</w:t>
      </w:r>
      <w:r w:rsidR="00301F01">
        <w:rPr>
          <w:b/>
        </w:rPr>
        <w:t>bljujoče povečanje</w:t>
      </w:r>
      <w:r w:rsidRPr="008C6A5D">
        <w:rPr>
          <w:b/>
        </w:rPr>
        <w:t xml:space="preserve"> vbrizgavanja</w:t>
      </w:r>
      <w:r w:rsidR="00F2543A">
        <w:rPr>
          <w:b/>
        </w:rPr>
        <w:t xml:space="preserve"> na lokalni in nacionalni ravni</w:t>
      </w:r>
      <w:r w:rsidRPr="008C6A5D">
        <w:t xml:space="preserve"> </w:t>
      </w:r>
    </w:p>
    <w:p w:rsidR="00E13BE1" w:rsidRPr="008C6A5D" w:rsidRDefault="00E13BE1" w:rsidP="00E13BE1">
      <w:pPr>
        <w:spacing w:after="260" w:line="260" w:lineRule="exact"/>
        <w:rPr>
          <w:rFonts w:ascii="Arial" w:hAnsi="Arial"/>
          <w:sz w:val="20"/>
          <w:szCs w:val="20"/>
        </w:rPr>
      </w:pPr>
      <w:r w:rsidRPr="008C6A5D">
        <w:rPr>
          <w:rFonts w:ascii="Arial" w:hAnsi="Arial"/>
          <w:sz w:val="20"/>
          <w:szCs w:val="20"/>
        </w:rPr>
        <w:t xml:space="preserve">Med letoma 2005 in 2013 je bilo prek </w:t>
      </w:r>
      <w:r w:rsidRPr="008C6A5D">
        <w:rPr>
          <w:rFonts w:ascii="Arial" w:hAnsi="Arial"/>
          <w:b/>
          <w:bCs/>
          <w:sz w:val="20"/>
          <w:szCs w:val="20"/>
        </w:rPr>
        <w:t>sistema EU za zgodnje opozarjanje</w:t>
      </w:r>
      <w:r w:rsidRPr="008C6A5D">
        <w:rPr>
          <w:rFonts w:ascii="Arial" w:hAnsi="Arial"/>
          <w:sz w:val="20"/>
          <w:szCs w:val="20"/>
        </w:rPr>
        <w:t xml:space="preserve"> </w:t>
      </w:r>
      <w:r w:rsidRPr="008C6A5D">
        <w:rPr>
          <w:rFonts w:ascii="Arial" w:hAnsi="Arial"/>
          <w:b/>
          <w:sz w:val="20"/>
          <w:szCs w:val="20"/>
        </w:rPr>
        <w:t>(EU EWS)</w:t>
      </w:r>
      <w:r w:rsidRPr="008C6A5D">
        <w:rPr>
          <w:rFonts w:ascii="Arial" w:hAnsi="Arial"/>
          <w:bCs/>
          <w:sz w:val="20"/>
          <w:szCs w:val="20"/>
        </w:rPr>
        <w:t xml:space="preserve"> </w:t>
      </w:r>
      <w:r w:rsidR="00C14586">
        <w:rPr>
          <w:rFonts w:ascii="Arial" w:hAnsi="Arial"/>
          <w:bCs/>
          <w:sz w:val="20"/>
          <w:szCs w:val="20"/>
        </w:rPr>
        <w:t>poročanih</w:t>
      </w:r>
      <w:r w:rsidR="00C14586" w:rsidRPr="008C6A5D">
        <w:rPr>
          <w:rFonts w:ascii="Arial" w:hAnsi="Arial"/>
          <w:bCs/>
          <w:sz w:val="20"/>
          <w:szCs w:val="20"/>
        </w:rPr>
        <w:t xml:space="preserve"> </w:t>
      </w:r>
      <w:r w:rsidRPr="008C6A5D">
        <w:rPr>
          <w:rFonts w:ascii="Arial" w:hAnsi="Arial"/>
          <w:bCs/>
          <w:sz w:val="20"/>
          <w:szCs w:val="20"/>
        </w:rPr>
        <w:t>več kot 50 </w:t>
      </w:r>
      <w:r w:rsidRPr="008C6A5D">
        <w:rPr>
          <w:rFonts w:ascii="Arial" w:hAnsi="Arial"/>
          <w:sz w:val="20"/>
          <w:szCs w:val="20"/>
        </w:rPr>
        <w:t xml:space="preserve">derivatov sintetičnih katinonov (stimulansov). V okviru </w:t>
      </w:r>
      <w:r w:rsidR="004B6FBB">
        <w:rPr>
          <w:rFonts w:ascii="Arial" w:hAnsi="Arial"/>
          <w:sz w:val="20"/>
          <w:szCs w:val="20"/>
        </w:rPr>
        <w:t>tega sistema</w:t>
      </w:r>
      <w:r w:rsidRPr="008C6A5D">
        <w:rPr>
          <w:rFonts w:ascii="Arial" w:hAnsi="Arial"/>
          <w:sz w:val="20"/>
          <w:szCs w:val="20"/>
        </w:rPr>
        <w:t xml:space="preserve"> se med drugim spremljajo</w:t>
      </w:r>
      <w:r w:rsidR="00C14586">
        <w:rPr>
          <w:rFonts w:ascii="Arial" w:hAnsi="Arial"/>
          <w:sz w:val="20"/>
          <w:szCs w:val="20"/>
        </w:rPr>
        <w:t>:</w:t>
      </w:r>
      <w:r w:rsidRPr="008C6A5D">
        <w:rPr>
          <w:rFonts w:ascii="Arial" w:hAnsi="Arial"/>
          <w:sz w:val="20"/>
          <w:szCs w:val="20"/>
        </w:rPr>
        <w:t xml:space="preserve"> mefedron (v zvezi s katerim so nadzorni ukrepi v EU začeli veljati leta 2010), MDPV (zanj je bila ocena tveganja opravljena aprila 2014) in pentedron. Sintetični katinoni se lahko vdihavajo v obliki </w:t>
      </w:r>
      <w:r w:rsidR="003770FE">
        <w:rPr>
          <w:rFonts w:ascii="Arial" w:hAnsi="Arial"/>
          <w:sz w:val="20"/>
          <w:szCs w:val="20"/>
        </w:rPr>
        <w:t>prahu</w:t>
      </w:r>
      <w:r w:rsidR="003770FE" w:rsidRPr="008C6A5D">
        <w:rPr>
          <w:rFonts w:ascii="Arial" w:hAnsi="Arial"/>
          <w:sz w:val="20"/>
          <w:szCs w:val="20"/>
        </w:rPr>
        <w:t xml:space="preserve"> </w:t>
      </w:r>
      <w:r w:rsidRPr="008C6A5D">
        <w:rPr>
          <w:rFonts w:ascii="Arial" w:hAnsi="Arial"/>
          <w:sz w:val="20"/>
          <w:szCs w:val="20"/>
        </w:rPr>
        <w:t xml:space="preserve">ali jemljejo oralno v obliki tablet, </w:t>
      </w:r>
      <w:r w:rsidR="00B91C73">
        <w:rPr>
          <w:rFonts w:ascii="Arial" w:hAnsi="Arial"/>
          <w:sz w:val="20"/>
          <w:szCs w:val="20"/>
        </w:rPr>
        <w:t>toda</w:t>
      </w:r>
      <w:r w:rsidRPr="008C6A5D">
        <w:rPr>
          <w:rFonts w:ascii="Arial" w:hAnsi="Arial"/>
          <w:sz w:val="20"/>
          <w:szCs w:val="20"/>
        </w:rPr>
        <w:t xml:space="preserve"> </w:t>
      </w:r>
      <w:r w:rsidRPr="008C6A5D">
        <w:rPr>
          <w:rFonts w:ascii="Arial" w:hAnsi="Arial"/>
          <w:b/>
          <w:bCs/>
          <w:sz w:val="20"/>
          <w:szCs w:val="20"/>
        </w:rPr>
        <w:t>EMCDDA</w:t>
      </w:r>
      <w:r w:rsidR="00B91C73">
        <w:rPr>
          <w:rFonts w:ascii="Arial" w:hAnsi="Arial"/>
          <w:sz w:val="20"/>
          <w:szCs w:val="20"/>
        </w:rPr>
        <w:t xml:space="preserve"> trenutno proučuje zaskrbljujoče </w:t>
      </w:r>
      <w:r w:rsidR="003770FE">
        <w:rPr>
          <w:rFonts w:ascii="Arial" w:hAnsi="Arial"/>
          <w:sz w:val="20"/>
          <w:szCs w:val="20"/>
        </w:rPr>
        <w:t xml:space="preserve">pojave </w:t>
      </w:r>
      <w:r w:rsidRPr="008C6A5D">
        <w:rPr>
          <w:rFonts w:ascii="Arial" w:hAnsi="Arial"/>
          <w:sz w:val="20"/>
          <w:szCs w:val="20"/>
        </w:rPr>
        <w:t>vbrizgavanja teh snovi.</w:t>
      </w:r>
    </w:p>
    <w:p w:rsidR="00E13BE1" w:rsidRPr="008C6A5D" w:rsidRDefault="00E13BE1" w:rsidP="00E13BE1">
      <w:pPr>
        <w:spacing w:after="260" w:line="260" w:lineRule="exact"/>
        <w:rPr>
          <w:rFonts w:ascii="Arial" w:hAnsi="Arial"/>
          <w:sz w:val="20"/>
          <w:szCs w:val="20"/>
        </w:rPr>
      </w:pPr>
      <w:r w:rsidRPr="008C6A5D">
        <w:rPr>
          <w:rFonts w:ascii="Arial" w:hAnsi="Arial"/>
          <w:sz w:val="20"/>
          <w:szCs w:val="20"/>
        </w:rPr>
        <w:t xml:space="preserve">Čeprav v Evropi vbrizgavanje katinonov ni razširjeno, je </w:t>
      </w:r>
      <w:r w:rsidR="00B075B6" w:rsidRPr="008C6A5D">
        <w:rPr>
          <w:rFonts w:ascii="Arial" w:hAnsi="Arial"/>
          <w:sz w:val="20"/>
          <w:szCs w:val="20"/>
        </w:rPr>
        <w:t xml:space="preserve">v nekaterih državah (npr. </w:t>
      </w:r>
      <w:r w:rsidR="00B075B6" w:rsidRPr="008C6A5D">
        <w:rPr>
          <w:rFonts w:ascii="Arial" w:hAnsi="Arial"/>
          <w:b/>
          <w:bCs/>
          <w:sz w:val="20"/>
          <w:szCs w:val="20"/>
        </w:rPr>
        <w:t>na Češkem, v Nemčiji, na Irskem, v Španiji, Avstriji, na Poljskem, Finskem, Švedskem</w:t>
      </w:r>
      <w:r w:rsidR="00B075B6" w:rsidRPr="008C6A5D">
        <w:rPr>
          <w:rFonts w:ascii="Arial" w:hAnsi="Arial"/>
          <w:sz w:val="20"/>
          <w:szCs w:val="20"/>
        </w:rPr>
        <w:t xml:space="preserve"> in </w:t>
      </w:r>
      <w:r w:rsidR="00B075B6" w:rsidRPr="008C6A5D">
        <w:rPr>
          <w:rFonts w:ascii="Arial" w:hAnsi="Arial"/>
          <w:b/>
          <w:bCs/>
          <w:sz w:val="20"/>
          <w:szCs w:val="20"/>
        </w:rPr>
        <w:t>v Združenem kraljestvu</w:t>
      </w:r>
      <w:r w:rsidR="00B075B6">
        <w:rPr>
          <w:rFonts w:ascii="Arial" w:hAnsi="Arial"/>
          <w:sz w:val="20"/>
          <w:szCs w:val="20"/>
        </w:rPr>
        <w:t xml:space="preserve">) </w:t>
      </w:r>
      <w:r w:rsidR="003770FE">
        <w:rPr>
          <w:rFonts w:ascii="Arial" w:hAnsi="Arial"/>
          <w:sz w:val="20"/>
          <w:szCs w:val="20"/>
        </w:rPr>
        <w:t xml:space="preserve">ta problem </w:t>
      </w:r>
      <w:r w:rsidR="00001A5E">
        <w:rPr>
          <w:rFonts w:ascii="Arial" w:hAnsi="Arial"/>
          <w:sz w:val="20"/>
          <w:szCs w:val="20"/>
        </w:rPr>
        <w:t>prisot</w:t>
      </w:r>
      <w:r w:rsidR="003770FE">
        <w:rPr>
          <w:rFonts w:ascii="Arial" w:hAnsi="Arial"/>
          <w:sz w:val="20"/>
          <w:szCs w:val="20"/>
        </w:rPr>
        <w:t>e</w:t>
      </w:r>
      <w:r w:rsidR="00001A5E">
        <w:rPr>
          <w:rFonts w:ascii="Arial" w:hAnsi="Arial"/>
          <w:sz w:val="20"/>
          <w:szCs w:val="20"/>
        </w:rPr>
        <w:t xml:space="preserve">n </w:t>
      </w:r>
      <w:r w:rsidR="00B075B6">
        <w:rPr>
          <w:rFonts w:ascii="Arial" w:hAnsi="Arial"/>
          <w:sz w:val="20"/>
          <w:szCs w:val="20"/>
        </w:rPr>
        <w:t>na lokalni ravni</w:t>
      </w:r>
      <w:r w:rsidRPr="008C6A5D">
        <w:rPr>
          <w:rFonts w:ascii="Arial" w:hAnsi="Arial"/>
          <w:sz w:val="20"/>
          <w:szCs w:val="20"/>
        </w:rPr>
        <w:t xml:space="preserve"> </w:t>
      </w:r>
      <w:r w:rsidR="00B075B6">
        <w:rPr>
          <w:rFonts w:ascii="Arial" w:hAnsi="Arial"/>
          <w:sz w:val="20"/>
          <w:szCs w:val="20"/>
        </w:rPr>
        <w:t>v</w:t>
      </w:r>
      <w:r w:rsidRPr="008C6A5D">
        <w:rPr>
          <w:rFonts w:ascii="Arial" w:hAnsi="Arial"/>
          <w:sz w:val="20"/>
          <w:szCs w:val="20"/>
        </w:rPr>
        <w:t xml:space="preserve"> </w:t>
      </w:r>
      <w:r w:rsidRPr="00FA5223">
        <w:rPr>
          <w:rFonts w:ascii="Arial" w:hAnsi="Arial"/>
          <w:sz w:val="20"/>
          <w:szCs w:val="20"/>
        </w:rPr>
        <w:t>skupinah</w:t>
      </w:r>
      <w:r w:rsidR="003770FE">
        <w:rPr>
          <w:rFonts w:ascii="Arial" w:hAnsi="Arial"/>
          <w:sz w:val="20"/>
          <w:szCs w:val="20"/>
        </w:rPr>
        <w:t>, ki</w:t>
      </w:r>
      <w:r w:rsidRPr="00FA5223">
        <w:rPr>
          <w:rFonts w:ascii="Arial" w:hAnsi="Arial"/>
          <w:sz w:val="20"/>
          <w:szCs w:val="20"/>
        </w:rPr>
        <w:t xml:space="preserve"> </w:t>
      </w:r>
      <w:r w:rsidR="003770FE">
        <w:rPr>
          <w:rFonts w:ascii="Arial" w:hAnsi="Arial"/>
          <w:sz w:val="20"/>
          <w:szCs w:val="20"/>
        </w:rPr>
        <w:t xml:space="preserve">zelo </w:t>
      </w:r>
      <w:r w:rsidRPr="00FA5223">
        <w:rPr>
          <w:rFonts w:ascii="Arial" w:hAnsi="Arial"/>
          <w:sz w:val="20"/>
          <w:szCs w:val="20"/>
        </w:rPr>
        <w:t>tvegan</w:t>
      </w:r>
      <w:r w:rsidR="003770FE">
        <w:rPr>
          <w:rFonts w:ascii="Arial" w:hAnsi="Arial"/>
          <w:sz w:val="20"/>
          <w:szCs w:val="20"/>
        </w:rPr>
        <w:t>o</w:t>
      </w:r>
      <w:r w:rsidRPr="00FA5223">
        <w:rPr>
          <w:rFonts w:ascii="Arial" w:hAnsi="Arial"/>
          <w:sz w:val="20"/>
          <w:szCs w:val="20"/>
        </w:rPr>
        <w:t xml:space="preserve"> uporab</w:t>
      </w:r>
      <w:r w:rsidR="003770FE">
        <w:rPr>
          <w:rFonts w:ascii="Arial" w:hAnsi="Arial"/>
          <w:sz w:val="20"/>
          <w:szCs w:val="20"/>
        </w:rPr>
        <w:t>ljajo</w:t>
      </w:r>
      <w:r w:rsidRPr="008C6A5D">
        <w:rPr>
          <w:rFonts w:ascii="Arial" w:hAnsi="Arial"/>
          <w:sz w:val="20"/>
          <w:szCs w:val="20"/>
        </w:rPr>
        <w:t xml:space="preserve"> drog</w:t>
      </w:r>
      <w:r w:rsidR="003770FE">
        <w:rPr>
          <w:rFonts w:ascii="Arial" w:hAnsi="Arial"/>
          <w:sz w:val="20"/>
          <w:szCs w:val="20"/>
        </w:rPr>
        <w:t>e</w:t>
      </w:r>
      <w:r w:rsidR="00B075B6">
        <w:rPr>
          <w:rFonts w:ascii="Arial" w:hAnsi="Arial"/>
          <w:sz w:val="20"/>
          <w:szCs w:val="20"/>
        </w:rPr>
        <w:t>.</w:t>
      </w:r>
      <w:r w:rsidRPr="008C6A5D">
        <w:rPr>
          <w:rFonts w:ascii="Arial" w:hAnsi="Arial"/>
          <w:sz w:val="20"/>
          <w:szCs w:val="20"/>
        </w:rPr>
        <w:t xml:space="preserve"> </w:t>
      </w:r>
      <w:r w:rsidR="00FA5223">
        <w:rPr>
          <w:rFonts w:ascii="Arial" w:hAnsi="Arial"/>
          <w:sz w:val="20"/>
          <w:szCs w:val="20"/>
        </w:rPr>
        <w:t>Za razliko od tega je n</w:t>
      </w:r>
      <w:r w:rsidRPr="008C6A5D">
        <w:rPr>
          <w:rFonts w:ascii="Arial" w:hAnsi="Arial"/>
          <w:sz w:val="20"/>
          <w:szCs w:val="20"/>
        </w:rPr>
        <w:t xml:space="preserve">a </w:t>
      </w:r>
      <w:r w:rsidRPr="008C6A5D">
        <w:rPr>
          <w:rFonts w:ascii="Arial" w:hAnsi="Arial"/>
          <w:b/>
          <w:bCs/>
          <w:sz w:val="20"/>
          <w:szCs w:val="20"/>
        </w:rPr>
        <w:t>Madžarskem</w:t>
      </w:r>
      <w:r w:rsidRPr="008C6A5D">
        <w:rPr>
          <w:rFonts w:ascii="Arial" w:hAnsi="Arial"/>
          <w:sz w:val="20"/>
          <w:szCs w:val="20"/>
        </w:rPr>
        <w:t xml:space="preserve"> in v </w:t>
      </w:r>
      <w:r w:rsidRPr="008C6A5D">
        <w:rPr>
          <w:rFonts w:ascii="Arial" w:hAnsi="Arial"/>
          <w:b/>
          <w:bCs/>
          <w:sz w:val="20"/>
          <w:szCs w:val="20"/>
        </w:rPr>
        <w:t>Romuniji</w:t>
      </w:r>
      <w:r w:rsidR="00B075B6">
        <w:rPr>
          <w:rFonts w:ascii="Arial" w:hAnsi="Arial"/>
          <w:sz w:val="20"/>
          <w:szCs w:val="20"/>
        </w:rPr>
        <w:t xml:space="preserve"> </w:t>
      </w:r>
      <w:r w:rsidRPr="008C6A5D">
        <w:rPr>
          <w:rFonts w:ascii="Arial" w:hAnsi="Arial"/>
          <w:sz w:val="20"/>
          <w:szCs w:val="20"/>
        </w:rPr>
        <w:t>praksa vbrizgavanja teh snovi</w:t>
      </w:r>
      <w:r w:rsidR="00B075B6">
        <w:rPr>
          <w:rFonts w:ascii="Arial" w:hAnsi="Arial"/>
          <w:sz w:val="20"/>
          <w:szCs w:val="20"/>
        </w:rPr>
        <w:t xml:space="preserve"> </w:t>
      </w:r>
      <w:r w:rsidR="00FA5223">
        <w:rPr>
          <w:rFonts w:ascii="Arial" w:hAnsi="Arial"/>
          <w:sz w:val="20"/>
          <w:szCs w:val="20"/>
        </w:rPr>
        <w:t xml:space="preserve">bolj splošno </w:t>
      </w:r>
      <w:r w:rsidR="00B075B6" w:rsidRPr="008C6A5D">
        <w:rPr>
          <w:rFonts w:ascii="Arial" w:hAnsi="Arial"/>
          <w:sz w:val="20"/>
          <w:szCs w:val="20"/>
        </w:rPr>
        <w:t>razširjena</w:t>
      </w:r>
      <w:r w:rsidRPr="008C6A5D">
        <w:rPr>
          <w:rFonts w:ascii="Arial" w:hAnsi="Arial"/>
          <w:sz w:val="20"/>
          <w:szCs w:val="20"/>
        </w:rPr>
        <w:t xml:space="preserve">. V </w:t>
      </w:r>
      <w:r w:rsidR="007201CE">
        <w:rPr>
          <w:rFonts w:ascii="Arial" w:hAnsi="Arial"/>
          <w:sz w:val="20"/>
          <w:szCs w:val="20"/>
        </w:rPr>
        <w:t xml:space="preserve">nacionalni </w:t>
      </w:r>
      <w:r w:rsidRPr="008C6A5D">
        <w:rPr>
          <w:rFonts w:ascii="Arial" w:hAnsi="Arial"/>
          <w:sz w:val="20"/>
          <w:szCs w:val="20"/>
        </w:rPr>
        <w:t xml:space="preserve">raziskavi o programih zamenjave injekcijskih igel in brizg na </w:t>
      </w:r>
      <w:r w:rsidRPr="008C6A5D">
        <w:rPr>
          <w:rFonts w:ascii="Arial" w:hAnsi="Arial"/>
          <w:b/>
          <w:bCs/>
          <w:sz w:val="20"/>
          <w:szCs w:val="20"/>
        </w:rPr>
        <w:t>Madžarskem</w:t>
      </w:r>
      <w:r w:rsidRPr="008C6A5D">
        <w:rPr>
          <w:rFonts w:ascii="Arial" w:hAnsi="Arial"/>
          <w:sz w:val="20"/>
          <w:szCs w:val="20"/>
        </w:rPr>
        <w:t xml:space="preserve"> je bilo na primer ugotovljeno, da si je leta 2012 </w:t>
      </w:r>
      <w:r w:rsidR="00001A5E">
        <w:rPr>
          <w:rFonts w:ascii="Arial" w:hAnsi="Arial"/>
          <w:sz w:val="20"/>
          <w:szCs w:val="20"/>
        </w:rPr>
        <w:t xml:space="preserve">kar </w:t>
      </w:r>
      <w:r w:rsidRPr="008C6A5D">
        <w:rPr>
          <w:rFonts w:ascii="Arial" w:hAnsi="Arial"/>
          <w:sz w:val="20"/>
          <w:szCs w:val="20"/>
        </w:rPr>
        <w:t>36 % uporabnikov drog vbrizgavalo katinone kot primarno drogo.</w:t>
      </w:r>
    </w:p>
    <w:p w:rsidR="00E13BE1" w:rsidRPr="008C6A5D" w:rsidRDefault="0026546B" w:rsidP="00E13BE1">
      <w:pPr>
        <w:spacing w:after="260" w:line="260" w:lineRule="exact"/>
        <w:rPr>
          <w:sz w:val="20"/>
          <w:szCs w:val="20"/>
        </w:rPr>
      </w:pPr>
      <w:r>
        <w:rPr>
          <w:rFonts w:ascii="Arial" w:hAnsi="Arial"/>
          <w:sz w:val="20"/>
          <w:szCs w:val="20"/>
        </w:rPr>
        <w:t>Čedalje bolj zaskrbljujoče vedenje,</w:t>
      </w:r>
      <w:r w:rsidR="00E13BE1" w:rsidRPr="008C6A5D">
        <w:rPr>
          <w:rFonts w:ascii="Arial" w:hAnsi="Arial"/>
          <w:sz w:val="20"/>
          <w:szCs w:val="20"/>
        </w:rPr>
        <w:t xml:space="preserve"> opaženo pri podskupinah moških, ki </w:t>
      </w:r>
      <w:r>
        <w:rPr>
          <w:rFonts w:ascii="Arial" w:hAnsi="Arial"/>
          <w:sz w:val="20"/>
          <w:szCs w:val="20"/>
        </w:rPr>
        <w:t>imajo spolne odnose z moškimi,</w:t>
      </w:r>
      <w:r w:rsidR="00E13BE1" w:rsidRPr="008C6A5D">
        <w:rPr>
          <w:rFonts w:ascii="Arial" w:hAnsi="Arial"/>
          <w:sz w:val="20"/>
          <w:szCs w:val="20"/>
        </w:rPr>
        <w:t xml:space="preserve"> je vbrizgavanje različnih prepovedanih drog (npr. katinonov in metamfetamina) na tako imenovanih </w:t>
      </w:r>
      <w:r w:rsidR="00416F1E">
        <w:rPr>
          <w:rFonts w:ascii="Arial" w:hAnsi="Arial"/>
          <w:sz w:val="20"/>
          <w:szCs w:val="20"/>
        </w:rPr>
        <w:t xml:space="preserve"> </w:t>
      </w:r>
      <w:r w:rsidR="00E13BE1" w:rsidRPr="008C6A5D">
        <w:rPr>
          <w:rFonts w:ascii="Arial" w:hAnsi="Arial"/>
          <w:sz w:val="20"/>
          <w:szCs w:val="20"/>
        </w:rPr>
        <w:t>„</w:t>
      </w:r>
      <w:r w:rsidR="00E13BE1" w:rsidRPr="00733C66">
        <w:rPr>
          <w:rFonts w:ascii="Arial" w:hAnsi="Arial"/>
          <w:sz w:val="20"/>
          <w:szCs w:val="20"/>
        </w:rPr>
        <w:t>chem sex</w:t>
      </w:r>
      <w:r w:rsidR="00E13BE1" w:rsidRPr="008C6A5D">
        <w:rPr>
          <w:rFonts w:ascii="Arial" w:hAnsi="Arial"/>
          <w:sz w:val="20"/>
          <w:szCs w:val="20"/>
        </w:rPr>
        <w:t xml:space="preserve">“ </w:t>
      </w:r>
      <w:r w:rsidR="00EF1466" w:rsidRPr="008C6A5D">
        <w:rPr>
          <w:rFonts w:ascii="Arial" w:hAnsi="Arial"/>
          <w:sz w:val="20"/>
          <w:szCs w:val="20"/>
        </w:rPr>
        <w:t>zabavah</w:t>
      </w:r>
      <w:r w:rsidR="00EF1466">
        <w:rPr>
          <w:rFonts w:ascii="Arial" w:hAnsi="Arial"/>
          <w:sz w:val="20"/>
          <w:szCs w:val="20"/>
        </w:rPr>
        <w:t>.</w:t>
      </w:r>
      <w:r w:rsidR="00EF1466" w:rsidRPr="008C6A5D">
        <w:rPr>
          <w:rFonts w:ascii="Arial" w:hAnsi="Arial"/>
          <w:sz w:val="20"/>
          <w:szCs w:val="20"/>
        </w:rPr>
        <w:t xml:space="preserve"> </w:t>
      </w:r>
      <w:r w:rsidR="00E13BE1" w:rsidRPr="008C6A5D">
        <w:rPr>
          <w:rFonts w:ascii="Arial" w:hAnsi="Arial"/>
          <w:sz w:val="20"/>
          <w:szCs w:val="20"/>
        </w:rPr>
        <w:t xml:space="preserve">O tej novi praksi, povezani s tveganimi spolnimi </w:t>
      </w:r>
      <w:r w:rsidR="00EB62C0">
        <w:rPr>
          <w:rFonts w:ascii="Arial" w:hAnsi="Arial"/>
          <w:sz w:val="20"/>
          <w:szCs w:val="20"/>
        </w:rPr>
        <w:t>vedenji</w:t>
      </w:r>
      <w:r w:rsidR="00E13BE1" w:rsidRPr="008C6A5D">
        <w:rPr>
          <w:rFonts w:ascii="Arial" w:hAnsi="Arial"/>
          <w:sz w:val="20"/>
          <w:szCs w:val="20"/>
        </w:rPr>
        <w:t>, se je do</w:t>
      </w:r>
      <w:r w:rsidR="00FA5223">
        <w:rPr>
          <w:rFonts w:ascii="Arial" w:hAnsi="Arial"/>
          <w:sz w:val="20"/>
          <w:szCs w:val="20"/>
        </w:rPr>
        <w:t>slej</w:t>
      </w:r>
      <w:r w:rsidR="00E13BE1" w:rsidRPr="008C6A5D">
        <w:rPr>
          <w:rFonts w:ascii="Arial" w:hAnsi="Arial"/>
          <w:sz w:val="20"/>
          <w:szCs w:val="20"/>
        </w:rPr>
        <w:t xml:space="preserve"> poročalo le v nekaterih večjih mestih. Zaradi morebitnega vpliva ugotovljenih </w:t>
      </w:r>
      <w:r w:rsidR="00301F01">
        <w:rPr>
          <w:rFonts w:ascii="Arial" w:hAnsi="Arial"/>
          <w:sz w:val="20"/>
          <w:szCs w:val="20"/>
        </w:rPr>
        <w:t>novih</w:t>
      </w:r>
      <w:r w:rsidR="00E13BE1" w:rsidRPr="008C6A5D">
        <w:rPr>
          <w:rFonts w:ascii="Arial" w:hAnsi="Arial"/>
          <w:sz w:val="20"/>
          <w:szCs w:val="20"/>
        </w:rPr>
        <w:t xml:space="preserve"> vzorcev vbrizgavanja katinonov je pozorno spremljanje tega problema prednostna naloga na področju javnega zdravja.</w:t>
      </w:r>
    </w:p>
    <w:p w:rsidR="00E13BE1" w:rsidRPr="008C6A5D" w:rsidRDefault="001677F6" w:rsidP="00E13BE1">
      <w:pPr>
        <w:spacing w:line="280" w:lineRule="auto"/>
        <w:rPr>
          <w:rFonts w:ascii="Arial" w:hAnsi="Arial"/>
          <w:b/>
          <w:sz w:val="20"/>
          <w:szCs w:val="20"/>
        </w:rPr>
      </w:pPr>
      <w:r>
        <w:rPr>
          <w:rFonts w:ascii="Arial" w:hAnsi="Arial"/>
          <w:b/>
          <w:sz w:val="20"/>
          <w:szCs w:val="20"/>
        </w:rPr>
        <w:t xml:space="preserve">Metamfetamin: </w:t>
      </w:r>
      <w:r w:rsidR="00E13BE1" w:rsidRPr="008C6A5D">
        <w:rPr>
          <w:rFonts w:ascii="Arial" w:hAnsi="Arial"/>
          <w:b/>
          <w:sz w:val="20"/>
          <w:szCs w:val="20"/>
        </w:rPr>
        <w:t>novi in raznoliki vzorc</w:t>
      </w:r>
      <w:r w:rsidR="00EB62C0">
        <w:rPr>
          <w:rFonts w:ascii="Arial" w:hAnsi="Arial"/>
          <w:b/>
          <w:sz w:val="20"/>
          <w:szCs w:val="20"/>
        </w:rPr>
        <w:t>i</w:t>
      </w:r>
      <w:r w:rsidR="00E13BE1" w:rsidRPr="008C6A5D">
        <w:rPr>
          <w:rFonts w:ascii="Arial" w:hAnsi="Arial"/>
          <w:b/>
          <w:sz w:val="20"/>
          <w:szCs w:val="20"/>
        </w:rPr>
        <w:t xml:space="preserve"> uporabe</w:t>
      </w:r>
      <w:r w:rsidR="00EB62C0" w:rsidRPr="00EB62C0">
        <w:rPr>
          <w:rFonts w:ascii="Arial" w:hAnsi="Arial"/>
          <w:b/>
          <w:sz w:val="20"/>
          <w:szCs w:val="20"/>
        </w:rPr>
        <w:t xml:space="preserve"> </w:t>
      </w:r>
      <w:r w:rsidR="00EB62C0">
        <w:rPr>
          <w:rFonts w:ascii="Arial" w:hAnsi="Arial"/>
          <w:b/>
          <w:sz w:val="20"/>
          <w:szCs w:val="20"/>
        </w:rPr>
        <w:t>vzrok za čedalje večjo</w:t>
      </w:r>
      <w:r w:rsidR="00EB62C0" w:rsidRPr="008C6A5D">
        <w:rPr>
          <w:rFonts w:ascii="Arial" w:hAnsi="Arial"/>
          <w:b/>
          <w:sz w:val="20"/>
          <w:szCs w:val="20"/>
        </w:rPr>
        <w:t xml:space="preserve"> zaskrbljenost </w:t>
      </w:r>
    </w:p>
    <w:p w:rsidR="00E13BE1" w:rsidRPr="008C6A5D" w:rsidRDefault="00E13BE1" w:rsidP="00E13BE1">
      <w:pPr>
        <w:spacing w:after="260"/>
        <w:ind w:right="-285"/>
        <w:rPr>
          <w:rFonts w:ascii="Arial" w:hAnsi="Arial"/>
          <w:sz w:val="20"/>
          <w:szCs w:val="20"/>
        </w:rPr>
      </w:pPr>
      <w:r w:rsidRPr="008C6A5D">
        <w:rPr>
          <w:rFonts w:ascii="Arial" w:hAnsi="Arial"/>
          <w:sz w:val="20"/>
          <w:szCs w:val="20"/>
        </w:rPr>
        <w:t xml:space="preserve">Metamfetamin je uveljavljen stimulans v številnih delih sveta (npr. v jugovzhodni Aziji, ZDA), kjer že dlje časa povzroča hude javnozdravstvene težave. Čeprav je uporaba metamfetamina v Evropi že od nekdaj omejena na </w:t>
      </w:r>
      <w:r w:rsidR="00FA5223">
        <w:rPr>
          <w:rFonts w:ascii="Arial" w:hAnsi="Arial"/>
          <w:b/>
          <w:bCs/>
          <w:sz w:val="20"/>
          <w:szCs w:val="20"/>
        </w:rPr>
        <w:t>Č</w:t>
      </w:r>
      <w:r w:rsidRPr="008C6A5D">
        <w:rPr>
          <w:rFonts w:ascii="Arial" w:hAnsi="Arial"/>
          <w:b/>
          <w:bCs/>
          <w:sz w:val="20"/>
          <w:szCs w:val="20"/>
        </w:rPr>
        <w:t xml:space="preserve">eško </w:t>
      </w:r>
      <w:r w:rsidRPr="008C6A5D">
        <w:rPr>
          <w:rFonts w:ascii="Arial" w:hAnsi="Arial"/>
          <w:sz w:val="20"/>
          <w:szCs w:val="20"/>
        </w:rPr>
        <w:t xml:space="preserve">in </w:t>
      </w:r>
      <w:r w:rsidRPr="008C6A5D">
        <w:rPr>
          <w:rFonts w:ascii="Arial" w:hAnsi="Arial"/>
          <w:b/>
          <w:bCs/>
          <w:sz w:val="20"/>
          <w:szCs w:val="20"/>
        </w:rPr>
        <w:t>Slovaško</w:t>
      </w:r>
      <w:r w:rsidRPr="008C6A5D">
        <w:rPr>
          <w:rFonts w:ascii="Arial" w:hAnsi="Arial"/>
          <w:sz w:val="20"/>
          <w:szCs w:val="20"/>
        </w:rPr>
        <w:t xml:space="preserve">, se </w:t>
      </w:r>
      <w:r w:rsidR="00FA5223">
        <w:rPr>
          <w:rFonts w:ascii="Arial" w:hAnsi="Arial"/>
          <w:sz w:val="20"/>
          <w:szCs w:val="20"/>
        </w:rPr>
        <w:t>se</w:t>
      </w:r>
      <w:r w:rsidRPr="008C6A5D">
        <w:rPr>
          <w:rFonts w:ascii="Arial" w:hAnsi="Arial"/>
          <w:sz w:val="20"/>
          <w:szCs w:val="20"/>
        </w:rPr>
        <w:t>daj novi načini in vzorc</w:t>
      </w:r>
      <w:r w:rsidR="00FA5223">
        <w:rPr>
          <w:rFonts w:ascii="Arial" w:hAnsi="Arial"/>
          <w:sz w:val="20"/>
          <w:szCs w:val="20"/>
        </w:rPr>
        <w:t>i uporabe pojavljajo tudi drugod</w:t>
      </w:r>
      <w:r w:rsidRPr="008C6A5D">
        <w:rPr>
          <w:rFonts w:ascii="Arial" w:hAnsi="Arial"/>
          <w:sz w:val="20"/>
          <w:szCs w:val="20"/>
        </w:rPr>
        <w:t xml:space="preserve"> in med različnimi </w:t>
      </w:r>
      <w:r w:rsidR="00741F0A">
        <w:rPr>
          <w:rFonts w:ascii="Arial" w:hAnsi="Arial"/>
          <w:sz w:val="20"/>
          <w:szCs w:val="20"/>
        </w:rPr>
        <w:t>skupinami, kot so</w:t>
      </w:r>
      <w:r w:rsidRPr="008C6A5D">
        <w:rPr>
          <w:rFonts w:ascii="Arial" w:hAnsi="Arial"/>
          <w:sz w:val="20"/>
          <w:szCs w:val="20"/>
        </w:rPr>
        <w:t xml:space="preserve"> na primer </w:t>
      </w:r>
      <w:r w:rsidR="00741F0A" w:rsidRPr="008C6A5D">
        <w:rPr>
          <w:rFonts w:ascii="Arial" w:hAnsi="Arial"/>
          <w:sz w:val="20"/>
          <w:szCs w:val="20"/>
        </w:rPr>
        <w:t>rekreativn</w:t>
      </w:r>
      <w:r w:rsidR="00741F0A">
        <w:rPr>
          <w:rFonts w:ascii="Arial" w:hAnsi="Arial"/>
          <w:sz w:val="20"/>
          <w:szCs w:val="20"/>
        </w:rPr>
        <w:t>i</w:t>
      </w:r>
      <w:r w:rsidR="00741F0A" w:rsidRPr="008C6A5D">
        <w:rPr>
          <w:rFonts w:ascii="Arial" w:hAnsi="Arial"/>
          <w:sz w:val="20"/>
          <w:szCs w:val="20"/>
        </w:rPr>
        <w:t xml:space="preserve"> uporabnik</w:t>
      </w:r>
      <w:r w:rsidR="00741F0A">
        <w:rPr>
          <w:rFonts w:ascii="Arial" w:hAnsi="Arial"/>
          <w:sz w:val="20"/>
          <w:szCs w:val="20"/>
        </w:rPr>
        <w:t>i</w:t>
      </w:r>
      <w:r w:rsidR="00741F0A" w:rsidRPr="008C6A5D">
        <w:rPr>
          <w:rFonts w:ascii="Arial" w:hAnsi="Arial"/>
          <w:sz w:val="20"/>
          <w:szCs w:val="20"/>
        </w:rPr>
        <w:t xml:space="preserve"> </w:t>
      </w:r>
      <w:r w:rsidRPr="008C6A5D">
        <w:rPr>
          <w:rFonts w:ascii="Arial" w:hAnsi="Arial"/>
          <w:sz w:val="20"/>
          <w:szCs w:val="20"/>
        </w:rPr>
        <w:t xml:space="preserve">v </w:t>
      </w:r>
      <w:r w:rsidRPr="008C6A5D">
        <w:rPr>
          <w:rFonts w:ascii="Arial" w:hAnsi="Arial"/>
          <w:b/>
          <w:bCs/>
          <w:sz w:val="20"/>
          <w:szCs w:val="20"/>
        </w:rPr>
        <w:t>Nemčiji</w:t>
      </w:r>
      <w:r w:rsidRPr="008C6A5D">
        <w:rPr>
          <w:rFonts w:ascii="Arial" w:hAnsi="Arial"/>
          <w:sz w:val="20"/>
          <w:szCs w:val="20"/>
        </w:rPr>
        <w:t xml:space="preserve">, ki </w:t>
      </w:r>
      <w:r w:rsidRPr="008C6A5D">
        <w:rPr>
          <w:rFonts w:ascii="Arial" w:hAnsi="Arial"/>
          <w:i/>
          <w:iCs/>
          <w:sz w:val="20"/>
          <w:szCs w:val="20"/>
        </w:rPr>
        <w:t>vdihavajo</w:t>
      </w:r>
      <w:r w:rsidRPr="008C6A5D">
        <w:rPr>
          <w:rFonts w:ascii="Arial" w:hAnsi="Arial"/>
          <w:sz w:val="20"/>
          <w:szCs w:val="20"/>
        </w:rPr>
        <w:t xml:space="preserve"> metamfetamin (v obliki </w:t>
      </w:r>
      <w:r w:rsidR="00741F0A">
        <w:rPr>
          <w:rFonts w:ascii="Arial" w:hAnsi="Arial"/>
          <w:sz w:val="20"/>
          <w:szCs w:val="20"/>
        </w:rPr>
        <w:t>prahu</w:t>
      </w:r>
      <w:r w:rsidRPr="008C6A5D">
        <w:rPr>
          <w:rFonts w:ascii="Arial" w:hAnsi="Arial"/>
          <w:sz w:val="20"/>
          <w:szCs w:val="20"/>
        </w:rPr>
        <w:t xml:space="preserve">), </w:t>
      </w:r>
      <w:r w:rsidR="00741F0A" w:rsidRPr="008C6A5D">
        <w:rPr>
          <w:rFonts w:ascii="Arial" w:hAnsi="Arial"/>
          <w:sz w:val="20"/>
          <w:szCs w:val="20"/>
        </w:rPr>
        <w:t>injicirajoč</w:t>
      </w:r>
      <w:r w:rsidR="00741F0A">
        <w:rPr>
          <w:rFonts w:ascii="Arial" w:hAnsi="Arial"/>
          <w:sz w:val="20"/>
          <w:szCs w:val="20"/>
        </w:rPr>
        <w:t>i</w:t>
      </w:r>
      <w:r w:rsidR="00741F0A" w:rsidRPr="008C6A5D">
        <w:rPr>
          <w:rFonts w:ascii="Arial" w:hAnsi="Arial"/>
          <w:sz w:val="20"/>
          <w:szCs w:val="20"/>
        </w:rPr>
        <w:t xml:space="preserve"> uporabnik</w:t>
      </w:r>
      <w:r w:rsidR="00741F0A">
        <w:rPr>
          <w:rFonts w:ascii="Arial" w:hAnsi="Arial"/>
          <w:sz w:val="20"/>
          <w:szCs w:val="20"/>
        </w:rPr>
        <w:t>i</w:t>
      </w:r>
      <w:r w:rsidR="00741F0A" w:rsidRPr="008C6A5D">
        <w:rPr>
          <w:rFonts w:ascii="Arial" w:hAnsi="Arial"/>
          <w:sz w:val="20"/>
          <w:szCs w:val="20"/>
        </w:rPr>
        <w:t xml:space="preserve"> </w:t>
      </w:r>
      <w:r w:rsidRPr="008C6A5D">
        <w:rPr>
          <w:rFonts w:ascii="Arial" w:hAnsi="Arial"/>
          <w:sz w:val="20"/>
          <w:szCs w:val="20"/>
        </w:rPr>
        <w:t xml:space="preserve">opioidov v </w:t>
      </w:r>
      <w:r w:rsidRPr="008C6A5D">
        <w:rPr>
          <w:rFonts w:ascii="Arial" w:hAnsi="Arial"/>
          <w:b/>
          <w:bCs/>
          <w:sz w:val="20"/>
          <w:szCs w:val="20"/>
        </w:rPr>
        <w:t xml:space="preserve">Grčiji, </w:t>
      </w:r>
      <w:r w:rsidRPr="008C6A5D">
        <w:rPr>
          <w:rFonts w:ascii="Arial" w:hAnsi="Arial"/>
          <w:sz w:val="20"/>
          <w:szCs w:val="20"/>
        </w:rPr>
        <w:t xml:space="preserve">na </w:t>
      </w:r>
      <w:r w:rsidRPr="008C6A5D">
        <w:rPr>
          <w:rFonts w:ascii="Arial" w:hAnsi="Arial"/>
          <w:b/>
          <w:bCs/>
          <w:sz w:val="20"/>
          <w:szCs w:val="20"/>
        </w:rPr>
        <w:t>Cipru</w:t>
      </w:r>
      <w:r w:rsidRPr="008C6A5D">
        <w:rPr>
          <w:rFonts w:ascii="Arial" w:hAnsi="Arial"/>
          <w:sz w:val="20"/>
          <w:szCs w:val="20"/>
        </w:rPr>
        <w:t xml:space="preserve"> in v </w:t>
      </w:r>
      <w:r w:rsidRPr="008C6A5D">
        <w:rPr>
          <w:rFonts w:ascii="Arial" w:hAnsi="Arial"/>
          <w:b/>
          <w:bCs/>
          <w:sz w:val="20"/>
          <w:szCs w:val="20"/>
        </w:rPr>
        <w:t>Turčiji</w:t>
      </w:r>
      <w:r w:rsidRPr="008C6A5D">
        <w:rPr>
          <w:rFonts w:ascii="Arial" w:hAnsi="Arial"/>
          <w:sz w:val="20"/>
          <w:szCs w:val="20"/>
        </w:rPr>
        <w:t xml:space="preserve">, ki </w:t>
      </w:r>
      <w:r w:rsidRPr="008C6A5D">
        <w:rPr>
          <w:rFonts w:ascii="Arial" w:hAnsi="Arial"/>
          <w:i/>
          <w:iCs/>
          <w:sz w:val="20"/>
          <w:szCs w:val="20"/>
        </w:rPr>
        <w:t>kadijo</w:t>
      </w:r>
      <w:r w:rsidRPr="008C6A5D">
        <w:rPr>
          <w:rFonts w:ascii="Arial" w:hAnsi="Arial"/>
          <w:sz w:val="20"/>
          <w:szCs w:val="20"/>
        </w:rPr>
        <w:t xml:space="preserve"> kristalni metamfetamin, in </w:t>
      </w:r>
      <w:r w:rsidR="00741F0A" w:rsidRPr="008C6A5D">
        <w:rPr>
          <w:rFonts w:ascii="Arial" w:hAnsi="Arial"/>
          <w:sz w:val="20"/>
          <w:szCs w:val="20"/>
        </w:rPr>
        <w:t>mošk</w:t>
      </w:r>
      <w:r w:rsidR="00741F0A">
        <w:rPr>
          <w:rFonts w:ascii="Arial" w:hAnsi="Arial"/>
          <w:sz w:val="20"/>
          <w:szCs w:val="20"/>
        </w:rPr>
        <w:t>i</w:t>
      </w:r>
      <w:r w:rsidRPr="008C6A5D">
        <w:rPr>
          <w:rFonts w:ascii="Arial" w:hAnsi="Arial"/>
          <w:sz w:val="20"/>
          <w:szCs w:val="20"/>
        </w:rPr>
        <w:t>, k</w:t>
      </w:r>
      <w:r w:rsidR="00FA5223">
        <w:rPr>
          <w:rFonts w:ascii="Arial" w:hAnsi="Arial"/>
          <w:sz w:val="20"/>
          <w:szCs w:val="20"/>
        </w:rPr>
        <w:t>i imajo spolne odnose z moškimi</w:t>
      </w:r>
      <w:r w:rsidRPr="008C6A5D">
        <w:rPr>
          <w:rFonts w:ascii="Arial" w:hAnsi="Arial"/>
          <w:sz w:val="20"/>
          <w:szCs w:val="20"/>
        </w:rPr>
        <w:t xml:space="preserve"> in</w:t>
      </w:r>
      <w:r w:rsidRPr="008C6A5D">
        <w:rPr>
          <w:rFonts w:ascii="Arial" w:hAnsi="Arial"/>
          <w:i/>
          <w:iCs/>
          <w:sz w:val="20"/>
          <w:szCs w:val="20"/>
        </w:rPr>
        <w:t xml:space="preserve"> si </w:t>
      </w:r>
      <w:r w:rsidRPr="008C6A5D">
        <w:rPr>
          <w:rFonts w:ascii="Arial" w:hAnsi="Arial"/>
          <w:sz w:val="20"/>
          <w:szCs w:val="20"/>
        </w:rPr>
        <w:t xml:space="preserve">to drogo </w:t>
      </w:r>
      <w:r w:rsidRPr="008C6A5D">
        <w:rPr>
          <w:rFonts w:ascii="Arial" w:hAnsi="Arial"/>
          <w:i/>
          <w:iCs/>
          <w:sz w:val="20"/>
          <w:szCs w:val="20"/>
        </w:rPr>
        <w:t>vbrizgavajo</w:t>
      </w:r>
      <w:r w:rsidRPr="008C6A5D">
        <w:rPr>
          <w:rFonts w:ascii="Arial" w:hAnsi="Arial"/>
          <w:sz w:val="20"/>
          <w:szCs w:val="20"/>
        </w:rPr>
        <w:t xml:space="preserve"> </w:t>
      </w:r>
      <w:r w:rsidR="00FA5223">
        <w:rPr>
          <w:rFonts w:ascii="Arial" w:hAnsi="Arial"/>
          <w:sz w:val="20"/>
          <w:szCs w:val="20"/>
        </w:rPr>
        <w:t xml:space="preserve">hkrati </w:t>
      </w:r>
      <w:r w:rsidRPr="008C6A5D">
        <w:rPr>
          <w:rFonts w:ascii="Arial" w:hAnsi="Arial"/>
          <w:sz w:val="20"/>
          <w:szCs w:val="20"/>
        </w:rPr>
        <w:t>z drugimi snovmi (glej zgoraj).</w:t>
      </w:r>
    </w:p>
    <w:p w:rsidR="00E13BE1" w:rsidRPr="00683E6B" w:rsidRDefault="00E13BE1" w:rsidP="00E13BE1">
      <w:pPr>
        <w:spacing w:after="260"/>
        <w:rPr>
          <w:rFonts w:ascii="Arial" w:hAnsi="Arial"/>
          <w:sz w:val="20"/>
          <w:szCs w:val="20"/>
        </w:rPr>
      </w:pPr>
      <w:r w:rsidRPr="008C6A5D">
        <w:rPr>
          <w:rFonts w:ascii="Arial" w:hAnsi="Arial"/>
          <w:b/>
          <w:bCs/>
          <w:sz w:val="20"/>
          <w:szCs w:val="20"/>
        </w:rPr>
        <w:lastRenderedPageBreak/>
        <w:t>EMCDDA</w:t>
      </w:r>
      <w:r w:rsidRPr="008C6A5D">
        <w:rPr>
          <w:rFonts w:ascii="Arial" w:hAnsi="Arial"/>
          <w:sz w:val="20"/>
          <w:szCs w:val="20"/>
        </w:rPr>
        <w:t xml:space="preserve"> v novi ana</w:t>
      </w:r>
      <w:r w:rsidR="00301F01">
        <w:rPr>
          <w:rFonts w:ascii="Arial" w:hAnsi="Arial"/>
          <w:sz w:val="20"/>
          <w:szCs w:val="20"/>
        </w:rPr>
        <w:t xml:space="preserve">lizi proučuje izzive </w:t>
      </w:r>
      <w:r w:rsidR="00EB62C0">
        <w:rPr>
          <w:rFonts w:ascii="Arial" w:hAnsi="Arial"/>
          <w:sz w:val="20"/>
          <w:szCs w:val="20"/>
        </w:rPr>
        <w:t>na področju</w:t>
      </w:r>
      <w:r w:rsidR="00301F01">
        <w:rPr>
          <w:rFonts w:ascii="Arial" w:hAnsi="Arial"/>
          <w:sz w:val="20"/>
          <w:szCs w:val="20"/>
        </w:rPr>
        <w:t xml:space="preserve"> zagotavljanj</w:t>
      </w:r>
      <w:r w:rsidR="00EB62C0">
        <w:rPr>
          <w:rFonts w:ascii="Arial" w:hAnsi="Arial"/>
          <w:sz w:val="20"/>
          <w:szCs w:val="20"/>
        </w:rPr>
        <w:t>a</w:t>
      </w:r>
      <w:r w:rsidRPr="008C6A5D">
        <w:rPr>
          <w:rFonts w:ascii="Arial" w:hAnsi="Arial"/>
          <w:sz w:val="20"/>
          <w:szCs w:val="20"/>
        </w:rPr>
        <w:t xml:space="preserve"> zdravstveni</w:t>
      </w:r>
      <w:r w:rsidR="00301F01">
        <w:rPr>
          <w:rFonts w:ascii="Arial" w:hAnsi="Arial"/>
          <w:sz w:val="20"/>
          <w:szCs w:val="20"/>
        </w:rPr>
        <w:t>h</w:t>
      </w:r>
      <w:r w:rsidRPr="008C6A5D">
        <w:rPr>
          <w:rFonts w:ascii="Arial" w:hAnsi="Arial"/>
          <w:sz w:val="20"/>
          <w:szCs w:val="20"/>
        </w:rPr>
        <w:t xml:space="preserve"> in socialni</w:t>
      </w:r>
      <w:r w:rsidR="00301F01">
        <w:rPr>
          <w:rFonts w:ascii="Arial" w:hAnsi="Arial"/>
          <w:sz w:val="20"/>
          <w:szCs w:val="20"/>
        </w:rPr>
        <w:t>h odzivov</w:t>
      </w:r>
      <w:r w:rsidRPr="008C6A5D">
        <w:rPr>
          <w:rFonts w:ascii="Arial" w:hAnsi="Arial"/>
          <w:sz w:val="20"/>
          <w:szCs w:val="20"/>
        </w:rPr>
        <w:t xml:space="preserve"> na to drogo. Čeprav za zdravljenje odvisnosti od metamfetamina ni odobrenih zdravil, so se psihosocialne intervencije izkazale za učinkovite.</w:t>
      </w:r>
      <w:r>
        <w:rPr>
          <w:rFonts w:ascii="Arial" w:hAnsi="Arial"/>
          <w:sz w:val="20"/>
          <w:szCs w:val="20"/>
        </w:rPr>
        <w:t xml:space="preserve"> </w:t>
      </w:r>
      <w:r w:rsidRPr="008C6A5D">
        <w:rPr>
          <w:rFonts w:ascii="Arial" w:hAnsi="Arial"/>
          <w:sz w:val="20"/>
          <w:szCs w:val="20"/>
        </w:rPr>
        <w:t>Agencija pravi:</w:t>
      </w:r>
      <w:r w:rsidRPr="008C6A5D">
        <w:rPr>
          <w:rFonts w:ascii="Arial" w:hAnsi="Arial"/>
          <w:b/>
          <w:sz w:val="20"/>
          <w:szCs w:val="20"/>
        </w:rPr>
        <w:t xml:space="preserve"> </w:t>
      </w:r>
      <w:r w:rsidRPr="008C6A5D">
        <w:rPr>
          <w:rFonts w:ascii="Arial" w:hAnsi="Arial"/>
          <w:color w:val="000000"/>
          <w:sz w:val="20"/>
          <w:szCs w:val="20"/>
        </w:rPr>
        <w:t>„</w:t>
      </w:r>
      <w:r w:rsidR="00FA5223">
        <w:rPr>
          <w:rFonts w:ascii="Arial" w:hAnsi="Arial"/>
          <w:color w:val="000000"/>
          <w:sz w:val="20"/>
          <w:szCs w:val="20"/>
        </w:rPr>
        <w:t>Trenutna</w:t>
      </w:r>
      <w:r w:rsidRPr="008C6A5D">
        <w:rPr>
          <w:rFonts w:ascii="Arial" w:hAnsi="Arial"/>
          <w:color w:val="000000"/>
          <w:sz w:val="20"/>
          <w:szCs w:val="20"/>
        </w:rPr>
        <w:t xml:space="preserve"> evropsk</w:t>
      </w:r>
      <w:r w:rsidR="00FA5223">
        <w:rPr>
          <w:rFonts w:ascii="Arial" w:hAnsi="Arial"/>
          <w:color w:val="000000"/>
          <w:sz w:val="20"/>
          <w:szCs w:val="20"/>
        </w:rPr>
        <w:t>a</w:t>
      </w:r>
      <w:r w:rsidRPr="008C6A5D">
        <w:rPr>
          <w:rFonts w:ascii="Arial" w:hAnsi="Arial"/>
          <w:color w:val="000000"/>
          <w:sz w:val="20"/>
          <w:szCs w:val="20"/>
        </w:rPr>
        <w:t xml:space="preserve"> problem</w:t>
      </w:r>
      <w:r w:rsidR="00FA5223">
        <w:rPr>
          <w:rFonts w:ascii="Arial" w:hAnsi="Arial"/>
          <w:color w:val="000000"/>
          <w:sz w:val="20"/>
          <w:szCs w:val="20"/>
        </w:rPr>
        <w:t>atika</w:t>
      </w:r>
      <w:r w:rsidRPr="008C6A5D">
        <w:rPr>
          <w:rFonts w:ascii="Arial" w:hAnsi="Arial"/>
          <w:color w:val="000000"/>
          <w:sz w:val="20"/>
          <w:szCs w:val="20"/>
        </w:rPr>
        <w:t xml:space="preserve"> metamfetamina nima enotne podobe, zato bo treba ustrezne odzive </w:t>
      </w:r>
      <w:r w:rsidR="008339A3">
        <w:rPr>
          <w:rFonts w:ascii="Arial" w:hAnsi="Arial"/>
          <w:color w:val="000000"/>
          <w:sz w:val="20"/>
          <w:szCs w:val="20"/>
        </w:rPr>
        <w:t>razviti</w:t>
      </w:r>
      <w:r w:rsidRPr="008C6A5D">
        <w:rPr>
          <w:rFonts w:ascii="Arial" w:hAnsi="Arial"/>
          <w:color w:val="000000"/>
          <w:sz w:val="20"/>
          <w:szCs w:val="20"/>
        </w:rPr>
        <w:t xml:space="preserve">, </w:t>
      </w:r>
      <w:r w:rsidR="00301F01">
        <w:rPr>
          <w:rFonts w:ascii="Arial" w:hAnsi="Arial"/>
          <w:color w:val="000000"/>
          <w:sz w:val="20"/>
          <w:szCs w:val="20"/>
        </w:rPr>
        <w:t>oblikovati</w:t>
      </w:r>
      <w:r w:rsidRPr="008C6A5D">
        <w:rPr>
          <w:rFonts w:ascii="Arial" w:hAnsi="Arial"/>
          <w:color w:val="000000"/>
          <w:sz w:val="20"/>
          <w:szCs w:val="20"/>
        </w:rPr>
        <w:t xml:space="preserve"> in prilagoditi lokalnim vzorcem uporabe in </w:t>
      </w:r>
      <w:r w:rsidR="008339A3">
        <w:rPr>
          <w:rFonts w:ascii="Arial" w:hAnsi="Arial"/>
          <w:color w:val="000000"/>
          <w:sz w:val="20"/>
          <w:szCs w:val="20"/>
        </w:rPr>
        <w:t xml:space="preserve">zaznanim </w:t>
      </w:r>
      <w:r w:rsidRPr="008C6A5D">
        <w:rPr>
          <w:rFonts w:ascii="Arial" w:hAnsi="Arial"/>
          <w:color w:val="000000"/>
          <w:sz w:val="20"/>
          <w:szCs w:val="20"/>
        </w:rPr>
        <w:t>težavam.“</w:t>
      </w:r>
    </w:p>
    <w:p w:rsidR="00E13BE1" w:rsidRPr="008C6A5D" w:rsidRDefault="00EB62C0" w:rsidP="00E13BE1">
      <w:pPr>
        <w:spacing w:line="280" w:lineRule="auto"/>
        <w:rPr>
          <w:rFonts w:ascii="Arial" w:hAnsi="Arial"/>
          <w:b/>
          <w:sz w:val="20"/>
          <w:szCs w:val="20"/>
        </w:rPr>
      </w:pPr>
      <w:r w:rsidRPr="008C6A5D">
        <w:rPr>
          <w:rFonts w:ascii="Arial" w:hAnsi="Arial"/>
          <w:b/>
          <w:sz w:val="20"/>
          <w:szCs w:val="20"/>
        </w:rPr>
        <w:t>Pr</w:t>
      </w:r>
      <w:r>
        <w:rPr>
          <w:rFonts w:ascii="Arial" w:hAnsi="Arial"/>
          <w:b/>
          <w:sz w:val="20"/>
          <w:szCs w:val="20"/>
        </w:rPr>
        <w:t>egled</w:t>
      </w:r>
      <w:r w:rsidRPr="008C6A5D">
        <w:rPr>
          <w:rFonts w:ascii="Arial" w:hAnsi="Arial"/>
          <w:b/>
          <w:sz w:val="20"/>
          <w:szCs w:val="20"/>
        </w:rPr>
        <w:t xml:space="preserve"> </w:t>
      </w:r>
      <w:r w:rsidR="00E13BE1" w:rsidRPr="008C6A5D">
        <w:rPr>
          <w:rFonts w:ascii="Arial" w:hAnsi="Arial"/>
          <w:b/>
          <w:sz w:val="20"/>
          <w:szCs w:val="20"/>
        </w:rPr>
        <w:t xml:space="preserve">napredka </w:t>
      </w:r>
      <w:r>
        <w:rPr>
          <w:rFonts w:ascii="Arial" w:hAnsi="Arial"/>
          <w:b/>
          <w:sz w:val="20"/>
          <w:szCs w:val="20"/>
        </w:rPr>
        <w:t xml:space="preserve">glede učinkovitosti </w:t>
      </w:r>
      <w:r w:rsidR="00E13BE1" w:rsidRPr="008C6A5D">
        <w:rPr>
          <w:rFonts w:ascii="Arial" w:hAnsi="Arial"/>
          <w:b/>
          <w:sz w:val="20"/>
          <w:szCs w:val="20"/>
        </w:rPr>
        <w:t>zdravil za zdravljenje odvisnosti od kokaina</w:t>
      </w:r>
    </w:p>
    <w:p w:rsidR="00E13BE1" w:rsidRPr="008C6A5D" w:rsidRDefault="00E13BE1" w:rsidP="00E13BE1">
      <w:pPr>
        <w:spacing w:after="260" w:line="260" w:lineRule="exact"/>
        <w:rPr>
          <w:rFonts w:ascii="Arial" w:hAnsi="Arial"/>
          <w:sz w:val="20"/>
          <w:szCs w:val="20"/>
        </w:rPr>
      </w:pPr>
      <w:r w:rsidRPr="008C6A5D">
        <w:rPr>
          <w:rFonts w:ascii="Arial" w:hAnsi="Arial"/>
          <w:sz w:val="20"/>
          <w:szCs w:val="20"/>
        </w:rPr>
        <w:t>Kokain je še</w:t>
      </w:r>
      <w:r w:rsidR="00301F01">
        <w:rPr>
          <w:rFonts w:ascii="Arial" w:hAnsi="Arial"/>
          <w:sz w:val="20"/>
          <w:szCs w:val="20"/>
        </w:rPr>
        <w:t xml:space="preserve"> vedno najpogosteje uporabljen</w:t>
      </w:r>
      <w:r w:rsidRPr="008C6A5D">
        <w:rPr>
          <w:rFonts w:ascii="Arial" w:hAnsi="Arial"/>
          <w:sz w:val="20"/>
          <w:szCs w:val="20"/>
        </w:rPr>
        <w:t xml:space="preserve"> prepovedan</w:t>
      </w:r>
      <w:r w:rsidR="00FA5223">
        <w:rPr>
          <w:rFonts w:ascii="Arial" w:hAnsi="Arial"/>
          <w:sz w:val="20"/>
          <w:szCs w:val="20"/>
        </w:rPr>
        <w:t>i</w:t>
      </w:r>
      <w:r w:rsidRPr="008C6A5D">
        <w:rPr>
          <w:rFonts w:ascii="Arial" w:hAnsi="Arial"/>
          <w:sz w:val="20"/>
          <w:szCs w:val="20"/>
        </w:rPr>
        <w:t xml:space="preserve"> stimulans v Evropi</w:t>
      </w:r>
      <w:r w:rsidR="00301F01">
        <w:rPr>
          <w:rFonts w:ascii="Arial" w:hAnsi="Arial"/>
          <w:sz w:val="20"/>
          <w:szCs w:val="20"/>
        </w:rPr>
        <w:t xml:space="preserve"> in</w:t>
      </w:r>
      <w:r w:rsidRPr="008C6A5D">
        <w:rPr>
          <w:rFonts w:ascii="Arial" w:hAnsi="Arial"/>
          <w:sz w:val="20"/>
          <w:szCs w:val="20"/>
        </w:rPr>
        <w:t xml:space="preserve"> izzivi glede zdravljenja odvisnosti od kokaina</w:t>
      </w:r>
      <w:r w:rsidR="00301F01">
        <w:rPr>
          <w:rFonts w:ascii="Arial" w:hAnsi="Arial"/>
          <w:sz w:val="20"/>
          <w:szCs w:val="20"/>
        </w:rPr>
        <w:t xml:space="preserve"> so še vedno prisotni</w:t>
      </w:r>
      <w:r w:rsidRPr="008C6A5D">
        <w:rPr>
          <w:rFonts w:ascii="Arial" w:hAnsi="Arial"/>
          <w:sz w:val="20"/>
          <w:szCs w:val="20"/>
        </w:rPr>
        <w:t xml:space="preserve">. Leta 2012 je 14 % uporabnikov, ki so se vključili v specialistično zdravljenje v Evropi, kot primarno </w:t>
      </w:r>
      <w:r w:rsidR="00FA5223">
        <w:rPr>
          <w:rFonts w:ascii="Arial" w:hAnsi="Arial"/>
          <w:sz w:val="20"/>
          <w:szCs w:val="20"/>
        </w:rPr>
        <w:t>drogo</w:t>
      </w:r>
      <w:r w:rsidRPr="008C6A5D">
        <w:rPr>
          <w:rFonts w:ascii="Arial" w:hAnsi="Arial"/>
          <w:sz w:val="20"/>
          <w:szCs w:val="20"/>
        </w:rPr>
        <w:t xml:space="preserve"> navedlo kokain. </w:t>
      </w:r>
      <w:r w:rsidRPr="008C6A5D">
        <w:rPr>
          <w:rFonts w:ascii="Arial" w:hAnsi="Arial"/>
          <w:b/>
          <w:bCs/>
          <w:sz w:val="20"/>
          <w:szCs w:val="20"/>
        </w:rPr>
        <w:t>EMCDDA</w:t>
      </w:r>
      <w:r w:rsidRPr="008C6A5D">
        <w:rPr>
          <w:rFonts w:ascii="Arial" w:hAnsi="Arial"/>
          <w:sz w:val="20"/>
          <w:szCs w:val="20"/>
        </w:rPr>
        <w:t xml:space="preserve"> danes predstavlja meta a</w:t>
      </w:r>
      <w:r w:rsidR="00FA5223">
        <w:rPr>
          <w:rFonts w:ascii="Arial" w:hAnsi="Arial"/>
          <w:sz w:val="20"/>
          <w:szCs w:val="20"/>
        </w:rPr>
        <w:t xml:space="preserve">nalizo šestih </w:t>
      </w:r>
      <w:r w:rsidR="008339A3">
        <w:rPr>
          <w:rFonts w:ascii="Arial" w:hAnsi="Arial"/>
          <w:sz w:val="20"/>
          <w:szCs w:val="20"/>
        </w:rPr>
        <w:t>pregledov raziskav</w:t>
      </w:r>
      <w:r w:rsidR="00FA5223">
        <w:rPr>
          <w:rFonts w:ascii="Arial" w:hAnsi="Arial"/>
          <w:sz w:val="20"/>
          <w:szCs w:val="20"/>
        </w:rPr>
        <w:t>, v katerih so proučevali</w:t>
      </w:r>
      <w:r w:rsidRPr="008C6A5D">
        <w:rPr>
          <w:rFonts w:ascii="Arial" w:hAnsi="Arial"/>
          <w:sz w:val="20"/>
          <w:szCs w:val="20"/>
        </w:rPr>
        <w:t xml:space="preserve"> učinkovitost zdravil, ki se uporabljajo pri zdravljenju težav s kokainom, in njihov</w:t>
      </w:r>
      <w:r w:rsidR="00FA5223">
        <w:rPr>
          <w:rFonts w:ascii="Arial" w:hAnsi="Arial"/>
          <w:sz w:val="20"/>
          <w:szCs w:val="20"/>
        </w:rPr>
        <w:t>o</w:t>
      </w:r>
      <w:r w:rsidRPr="008C6A5D">
        <w:rPr>
          <w:rFonts w:ascii="Arial" w:hAnsi="Arial"/>
          <w:sz w:val="20"/>
          <w:szCs w:val="20"/>
        </w:rPr>
        <w:t xml:space="preserve"> sprejet</w:t>
      </w:r>
      <w:r w:rsidR="00FA5223">
        <w:rPr>
          <w:rFonts w:ascii="Arial" w:hAnsi="Arial"/>
          <w:sz w:val="20"/>
          <w:szCs w:val="20"/>
        </w:rPr>
        <w:t>ost</w:t>
      </w:r>
      <w:r w:rsidRPr="008C6A5D">
        <w:rPr>
          <w:rFonts w:ascii="Arial" w:hAnsi="Arial"/>
          <w:sz w:val="20"/>
          <w:szCs w:val="20"/>
        </w:rPr>
        <w:t xml:space="preserve"> med uporabniki. Izvirn</w:t>
      </w:r>
      <w:r w:rsidR="008339A3">
        <w:rPr>
          <w:rFonts w:ascii="Arial" w:hAnsi="Arial"/>
          <w:sz w:val="20"/>
          <w:szCs w:val="20"/>
        </w:rPr>
        <w:t>i</w:t>
      </w:r>
      <w:r w:rsidR="00FA5223">
        <w:rPr>
          <w:rFonts w:ascii="Arial" w:hAnsi="Arial"/>
          <w:sz w:val="20"/>
          <w:szCs w:val="20"/>
        </w:rPr>
        <w:t xml:space="preserve"> </w:t>
      </w:r>
      <w:r w:rsidR="008339A3">
        <w:rPr>
          <w:rFonts w:ascii="Arial" w:hAnsi="Arial"/>
          <w:sz w:val="20"/>
          <w:szCs w:val="20"/>
        </w:rPr>
        <w:t xml:space="preserve">pregledi </w:t>
      </w:r>
      <w:r w:rsidR="00FA5223">
        <w:rPr>
          <w:rFonts w:ascii="Arial" w:hAnsi="Arial"/>
          <w:sz w:val="20"/>
          <w:szCs w:val="20"/>
        </w:rPr>
        <w:t>raziskav</w:t>
      </w:r>
      <w:r w:rsidRPr="008C6A5D">
        <w:rPr>
          <w:rFonts w:ascii="Arial" w:hAnsi="Arial"/>
          <w:sz w:val="20"/>
          <w:szCs w:val="20"/>
        </w:rPr>
        <w:t xml:space="preserve">, ki jih je opravila </w:t>
      </w:r>
      <w:r w:rsidR="00301F01">
        <w:rPr>
          <w:rFonts w:ascii="Arial" w:hAnsi="Arial"/>
          <w:sz w:val="20"/>
          <w:szCs w:val="20"/>
        </w:rPr>
        <w:t xml:space="preserve">raziskovalna </w:t>
      </w:r>
      <w:r w:rsidRPr="008C6A5D">
        <w:rPr>
          <w:rFonts w:ascii="Arial" w:hAnsi="Arial"/>
          <w:sz w:val="20"/>
          <w:szCs w:val="20"/>
        </w:rPr>
        <w:t xml:space="preserve">skupina </w:t>
      </w:r>
      <w:r w:rsidRPr="00416F1E">
        <w:rPr>
          <w:rFonts w:ascii="Arial" w:hAnsi="Arial"/>
          <w:i/>
          <w:sz w:val="20"/>
          <w:szCs w:val="20"/>
        </w:rPr>
        <w:t>Cochrane Drugs and Alcohol</w:t>
      </w:r>
      <w:r w:rsidR="00416F1E" w:rsidRPr="00416F1E">
        <w:rPr>
          <w:rFonts w:ascii="Arial" w:hAnsi="Arial"/>
          <w:i/>
          <w:sz w:val="20"/>
          <w:szCs w:val="20"/>
        </w:rPr>
        <w:t xml:space="preserve"> Group</w:t>
      </w:r>
      <w:r w:rsidR="00FA5223">
        <w:rPr>
          <w:rFonts w:ascii="Arial" w:hAnsi="Arial"/>
          <w:sz w:val="20"/>
          <w:szCs w:val="20"/>
        </w:rPr>
        <w:t>, so vključeval</w:t>
      </w:r>
      <w:r w:rsidR="008339A3">
        <w:rPr>
          <w:rFonts w:ascii="Arial" w:hAnsi="Arial"/>
          <w:sz w:val="20"/>
          <w:szCs w:val="20"/>
        </w:rPr>
        <w:t>i</w:t>
      </w:r>
      <w:r w:rsidRPr="008C6A5D">
        <w:rPr>
          <w:rFonts w:ascii="Arial" w:hAnsi="Arial"/>
          <w:sz w:val="20"/>
          <w:szCs w:val="20"/>
        </w:rPr>
        <w:t xml:space="preserve"> 92 študij (85 v ZDA) in več kot 7 000 udeležencev. </w:t>
      </w:r>
      <w:r w:rsidR="008339A3">
        <w:rPr>
          <w:rFonts w:ascii="Arial" w:hAnsi="Arial"/>
          <w:sz w:val="20"/>
          <w:szCs w:val="20"/>
        </w:rPr>
        <w:t>Ti</w:t>
      </w:r>
      <w:r w:rsidR="008339A3" w:rsidRPr="008C6A5D">
        <w:rPr>
          <w:rFonts w:ascii="Arial" w:hAnsi="Arial"/>
          <w:sz w:val="20"/>
          <w:szCs w:val="20"/>
        </w:rPr>
        <w:t xml:space="preserve"> </w:t>
      </w:r>
      <w:r w:rsidRPr="008C6A5D">
        <w:rPr>
          <w:rFonts w:ascii="Arial" w:hAnsi="Arial"/>
          <w:sz w:val="20"/>
          <w:szCs w:val="20"/>
        </w:rPr>
        <w:t xml:space="preserve">kažejo, da lahko nekatera zdravila zmanjšajo </w:t>
      </w:r>
      <w:r w:rsidR="00FA5223">
        <w:rPr>
          <w:rFonts w:ascii="Arial" w:hAnsi="Arial"/>
          <w:sz w:val="20"/>
          <w:szCs w:val="20"/>
        </w:rPr>
        <w:t>hlepenje uporabnikov po tej drogi</w:t>
      </w:r>
      <w:r w:rsidRPr="008C6A5D">
        <w:rPr>
          <w:rFonts w:ascii="Arial" w:hAnsi="Arial"/>
          <w:sz w:val="20"/>
          <w:szCs w:val="20"/>
        </w:rPr>
        <w:t>, vendar do</w:t>
      </w:r>
      <w:r w:rsidR="00FA5223">
        <w:rPr>
          <w:rFonts w:ascii="Arial" w:hAnsi="Arial"/>
          <w:sz w:val="20"/>
          <w:szCs w:val="20"/>
        </w:rPr>
        <w:t>slej</w:t>
      </w:r>
      <w:r w:rsidRPr="008C6A5D">
        <w:rPr>
          <w:rFonts w:ascii="Arial" w:hAnsi="Arial"/>
          <w:sz w:val="20"/>
          <w:szCs w:val="20"/>
        </w:rPr>
        <w:t xml:space="preserve"> še ni bila odkrita nobena farmakološka rešitev za odvisnost od kokaina. Kljub napredovanju raziskav na tem področju psihosocialne intervencije ostajajo ključni element v zdravljenju uporabnikov kokaina (glej videoposnetek).</w:t>
      </w:r>
    </w:p>
    <w:p w:rsidR="00E13BE1" w:rsidRPr="008C6A5D" w:rsidRDefault="00E13BE1" w:rsidP="00E13BE1">
      <w:pPr>
        <w:autoSpaceDE w:val="0"/>
        <w:autoSpaceDN w:val="0"/>
        <w:adjustRightInd w:val="0"/>
        <w:spacing w:after="0" w:line="240" w:lineRule="auto"/>
        <w:rPr>
          <w:rFonts w:ascii="Arial" w:hAnsi="Arial"/>
          <w:b/>
          <w:sz w:val="20"/>
          <w:szCs w:val="20"/>
        </w:rPr>
      </w:pPr>
      <w:r w:rsidRPr="008C6A5D">
        <w:rPr>
          <w:rFonts w:ascii="Arial" w:hAnsi="Arial"/>
          <w:b/>
          <w:sz w:val="20"/>
          <w:szCs w:val="20"/>
        </w:rPr>
        <w:t>Domača proizvodnja marihuane, pomemben vir oskrbe — uvoženi hašiš čedalje močnejši</w:t>
      </w:r>
    </w:p>
    <w:p w:rsidR="00E13BE1" w:rsidRPr="008C6A5D" w:rsidRDefault="00E13BE1" w:rsidP="00E13BE1">
      <w:pPr>
        <w:autoSpaceDE w:val="0"/>
        <w:autoSpaceDN w:val="0"/>
        <w:adjustRightInd w:val="0"/>
        <w:spacing w:after="0" w:line="240" w:lineRule="auto"/>
        <w:rPr>
          <w:rFonts w:ascii="Arial" w:hAnsi="Arial"/>
          <w:b/>
          <w:sz w:val="20"/>
          <w:szCs w:val="20"/>
        </w:rPr>
      </w:pPr>
    </w:p>
    <w:p w:rsidR="00E13BE1" w:rsidRPr="008C6A5D" w:rsidRDefault="00E13BE1" w:rsidP="00E13BE1">
      <w:pPr>
        <w:autoSpaceDE w:val="0"/>
        <w:autoSpaceDN w:val="0"/>
        <w:adjustRightInd w:val="0"/>
        <w:spacing w:after="260" w:line="260" w:lineRule="exact"/>
        <w:rPr>
          <w:rFonts w:ascii="Arial" w:hAnsi="Arial"/>
          <w:sz w:val="20"/>
          <w:szCs w:val="20"/>
          <w:lang w:eastAsia="en-GB"/>
        </w:rPr>
      </w:pPr>
      <w:r w:rsidRPr="008C6A5D">
        <w:rPr>
          <w:rFonts w:ascii="Arial" w:hAnsi="Arial"/>
          <w:bCs/>
          <w:sz w:val="20"/>
          <w:szCs w:val="20"/>
        </w:rPr>
        <w:t xml:space="preserve">Evropa je že dolgo eden največjih svetovnih potrošniških trgov konoplje, zlasti hašiša, ki se uvaža predvsem iz </w:t>
      </w:r>
      <w:r w:rsidRPr="008C6A5D">
        <w:rPr>
          <w:rFonts w:ascii="Arial" w:hAnsi="Arial"/>
          <w:b/>
          <w:sz w:val="20"/>
          <w:szCs w:val="20"/>
        </w:rPr>
        <w:t>Maroka</w:t>
      </w:r>
      <w:r w:rsidRPr="008C6A5D">
        <w:rPr>
          <w:rFonts w:ascii="Arial" w:hAnsi="Arial"/>
          <w:bCs/>
          <w:sz w:val="20"/>
          <w:szCs w:val="20"/>
        </w:rPr>
        <w:t xml:space="preserve">. Ocenjuje se, da se v Evropi vsako leto porabi približno 2 050 ton hašiša in marihuane. </w:t>
      </w:r>
      <w:r w:rsidRPr="008C6A5D">
        <w:rPr>
          <w:rFonts w:ascii="Arial" w:hAnsi="Arial"/>
          <w:b/>
          <w:sz w:val="20"/>
          <w:szCs w:val="20"/>
        </w:rPr>
        <w:t>EMCDDA</w:t>
      </w:r>
      <w:r w:rsidRPr="008C6A5D">
        <w:rPr>
          <w:rFonts w:ascii="Arial" w:hAnsi="Arial"/>
          <w:bCs/>
          <w:sz w:val="20"/>
          <w:szCs w:val="20"/>
        </w:rPr>
        <w:t xml:space="preserve"> danes poroča, da na evropskem trgu konoplje prevladujejo proizvodi iz marihuane, pri čemer se domače potrebe zadovoljujejo z doma proizvedeno marihuano.</w:t>
      </w:r>
      <w:r w:rsidRPr="008C6A5D">
        <w:rPr>
          <w:rFonts w:ascii="Arial" w:hAnsi="Arial"/>
          <w:sz w:val="20"/>
          <w:szCs w:val="20"/>
          <w:lang w:eastAsia="en-GB"/>
        </w:rPr>
        <w:t xml:space="preserve"> V Evropi je odkritih </w:t>
      </w:r>
      <w:r w:rsidR="00301F01">
        <w:rPr>
          <w:rFonts w:ascii="Arial" w:hAnsi="Arial"/>
          <w:sz w:val="20"/>
          <w:szCs w:val="20"/>
          <w:lang w:eastAsia="en-GB"/>
        </w:rPr>
        <w:t>vse</w:t>
      </w:r>
      <w:r w:rsidRPr="008C6A5D">
        <w:rPr>
          <w:rFonts w:ascii="Arial" w:hAnsi="Arial"/>
          <w:sz w:val="20"/>
          <w:szCs w:val="20"/>
          <w:lang w:eastAsia="en-GB"/>
        </w:rPr>
        <w:t xml:space="preserve"> več nasadov konoplje.</w:t>
      </w:r>
    </w:p>
    <w:p w:rsidR="00E13BE1" w:rsidRPr="008C6A5D" w:rsidRDefault="00E13BE1" w:rsidP="00E13BE1">
      <w:pPr>
        <w:autoSpaceDE w:val="0"/>
        <w:autoSpaceDN w:val="0"/>
        <w:adjustRightInd w:val="0"/>
        <w:spacing w:after="260" w:line="260" w:lineRule="exact"/>
        <w:rPr>
          <w:rFonts w:ascii="Arial" w:hAnsi="Arial"/>
          <w:color w:val="BFBFBF"/>
          <w:sz w:val="20"/>
          <w:szCs w:val="20"/>
        </w:rPr>
      </w:pPr>
      <w:r w:rsidRPr="008C6A5D">
        <w:rPr>
          <w:rFonts w:ascii="Arial" w:hAnsi="Arial"/>
          <w:bCs/>
          <w:sz w:val="20"/>
          <w:szCs w:val="20"/>
        </w:rPr>
        <w:t>V zadnjem desetletju je število zasegov marihuane v Evropi preseglo število zasegov hašiša.</w:t>
      </w:r>
      <w:r w:rsidRPr="008C6A5D">
        <w:rPr>
          <w:rFonts w:ascii="Arial" w:hAnsi="Arial"/>
          <w:sz w:val="20"/>
          <w:szCs w:val="20"/>
        </w:rPr>
        <w:t xml:space="preserve"> Leta 2012 je bilo </w:t>
      </w:r>
      <w:r w:rsidR="007D6D0D">
        <w:rPr>
          <w:rFonts w:ascii="Arial" w:hAnsi="Arial"/>
          <w:sz w:val="20"/>
          <w:szCs w:val="20"/>
        </w:rPr>
        <w:t>zabeleženih</w:t>
      </w:r>
      <w:r w:rsidR="007D6D0D" w:rsidRPr="008C6A5D">
        <w:rPr>
          <w:rFonts w:ascii="Arial" w:hAnsi="Arial"/>
          <w:sz w:val="20"/>
          <w:szCs w:val="20"/>
        </w:rPr>
        <w:t xml:space="preserve"> </w:t>
      </w:r>
      <w:r w:rsidRPr="008C6A5D">
        <w:rPr>
          <w:rFonts w:ascii="Arial" w:hAnsi="Arial"/>
          <w:sz w:val="20"/>
          <w:szCs w:val="20"/>
        </w:rPr>
        <w:t>približno 457 000 zasegov marihuane, zasegov hašiša pa je bilo 258 000. Istega leta je bilo zaseženih p</w:t>
      </w:r>
      <w:r w:rsidR="00DA6985">
        <w:rPr>
          <w:rFonts w:ascii="Arial" w:hAnsi="Arial"/>
          <w:sz w:val="20"/>
          <w:szCs w:val="20"/>
        </w:rPr>
        <w:t>ribližno sedem milijonov sadik</w:t>
      </w:r>
      <w:r w:rsidRPr="008C6A5D">
        <w:rPr>
          <w:rFonts w:ascii="Arial" w:hAnsi="Arial"/>
          <w:sz w:val="20"/>
          <w:szCs w:val="20"/>
        </w:rPr>
        <w:t xml:space="preserve"> konoplje, kar je več kot 2,5-krat več od količine, prijavljene pred petimi leti. Inovacije v proizvodnji konoplje so v zadnjih letih skrb vzbujajoče (glej videoposnetek), pri čemer pridelovalci gojijo rastline z visoko vsebnostjo THC (</w:t>
      </w:r>
      <w:r w:rsidR="007D6D0D">
        <w:rPr>
          <w:rFonts w:ascii="Arial" w:hAnsi="Arial"/>
          <w:sz w:val="20"/>
          <w:szCs w:val="20"/>
        </w:rPr>
        <w:t>aktivna snov</w:t>
      </w:r>
      <w:r w:rsidR="007D6D0D" w:rsidRPr="008C6A5D">
        <w:rPr>
          <w:rFonts w:ascii="Arial" w:hAnsi="Arial"/>
          <w:sz w:val="20"/>
          <w:szCs w:val="20"/>
        </w:rPr>
        <w:t xml:space="preserve"> </w:t>
      </w:r>
      <w:r w:rsidRPr="008C6A5D">
        <w:rPr>
          <w:rFonts w:ascii="Arial" w:hAnsi="Arial"/>
          <w:sz w:val="20"/>
          <w:szCs w:val="20"/>
        </w:rPr>
        <w:t>v konoplji) in nizko vsebnostjo CBD (antipsihotika). Čeprav se je moč obeh oblik konoplje od leta 2006 povečala, so bila izrazita povečanja moči hašiša ugotovljena med letoma 2011 in 2012 (glej informativni grafični prikaz za konopljo, Evropsko poročilo o drogah, poglavje 1).</w:t>
      </w:r>
    </w:p>
    <w:p w:rsidR="00E13BE1" w:rsidRPr="008C6A5D" w:rsidRDefault="00E13BE1" w:rsidP="00E13BE1">
      <w:pPr>
        <w:spacing w:after="0" w:line="240" w:lineRule="auto"/>
        <w:rPr>
          <w:rFonts w:ascii="Arial" w:hAnsi="Arial"/>
          <w:sz w:val="20"/>
          <w:szCs w:val="20"/>
        </w:rPr>
      </w:pPr>
      <w:r w:rsidRPr="008C6A5D">
        <w:rPr>
          <w:rFonts w:ascii="Arial" w:hAnsi="Arial"/>
          <w:b/>
          <w:bCs/>
          <w:sz w:val="20"/>
          <w:szCs w:val="20"/>
        </w:rPr>
        <w:t xml:space="preserve">Spletno zdravljenje odvisnosti od drog — </w:t>
      </w:r>
      <w:r w:rsidR="00604388">
        <w:rPr>
          <w:rFonts w:ascii="Arial" w:hAnsi="Arial"/>
          <w:b/>
          <w:bCs/>
          <w:sz w:val="20"/>
          <w:szCs w:val="20"/>
        </w:rPr>
        <w:t>nov</w:t>
      </w:r>
      <w:r w:rsidR="007D6D0D">
        <w:rPr>
          <w:rFonts w:ascii="Arial" w:hAnsi="Arial"/>
          <w:b/>
          <w:bCs/>
          <w:sz w:val="20"/>
          <w:szCs w:val="20"/>
        </w:rPr>
        <w:t xml:space="preserve"> pristop</w:t>
      </w:r>
      <w:r w:rsidRPr="008C6A5D">
        <w:rPr>
          <w:rFonts w:ascii="Arial" w:hAnsi="Arial"/>
          <w:b/>
          <w:bCs/>
          <w:sz w:val="20"/>
          <w:szCs w:val="20"/>
        </w:rPr>
        <w:t xml:space="preserve"> </w:t>
      </w:r>
      <w:r w:rsidR="007D6D0D">
        <w:rPr>
          <w:rFonts w:ascii="Arial" w:hAnsi="Arial"/>
          <w:b/>
          <w:bCs/>
          <w:sz w:val="20"/>
          <w:szCs w:val="20"/>
        </w:rPr>
        <w:t xml:space="preserve">k </w:t>
      </w:r>
      <w:r w:rsidRPr="008C6A5D">
        <w:rPr>
          <w:rFonts w:ascii="Arial" w:hAnsi="Arial"/>
          <w:b/>
          <w:bCs/>
          <w:sz w:val="20"/>
          <w:szCs w:val="20"/>
        </w:rPr>
        <w:t>uporabniko</w:t>
      </w:r>
      <w:r w:rsidR="007D6D0D">
        <w:rPr>
          <w:rFonts w:ascii="Arial" w:hAnsi="Arial"/>
          <w:b/>
          <w:bCs/>
          <w:sz w:val="20"/>
          <w:szCs w:val="20"/>
        </w:rPr>
        <w:t>m</w:t>
      </w:r>
      <w:r w:rsidRPr="008C6A5D">
        <w:rPr>
          <w:rFonts w:ascii="Arial" w:hAnsi="Arial"/>
          <w:b/>
          <w:bCs/>
          <w:sz w:val="20"/>
          <w:szCs w:val="20"/>
        </w:rPr>
        <w:t xml:space="preserve"> drog</w:t>
      </w:r>
    </w:p>
    <w:p w:rsidR="00E13BE1" w:rsidRPr="008C6A5D" w:rsidRDefault="00E13BE1" w:rsidP="00E13BE1">
      <w:pPr>
        <w:spacing w:after="0" w:line="240" w:lineRule="auto"/>
        <w:rPr>
          <w:rFonts w:ascii="Arial" w:hAnsi="Arial"/>
          <w:sz w:val="20"/>
          <w:szCs w:val="20"/>
        </w:rPr>
      </w:pPr>
    </w:p>
    <w:p w:rsidR="00E13BE1" w:rsidRPr="008C6A5D" w:rsidRDefault="00DA6985" w:rsidP="00E13BE1">
      <w:pPr>
        <w:spacing w:after="260" w:line="260" w:lineRule="exact"/>
        <w:rPr>
          <w:rFonts w:ascii="Arial" w:hAnsi="Arial"/>
          <w:sz w:val="20"/>
          <w:szCs w:val="20"/>
        </w:rPr>
      </w:pPr>
      <w:r>
        <w:rPr>
          <w:rFonts w:ascii="Arial" w:hAnsi="Arial"/>
          <w:sz w:val="20"/>
          <w:szCs w:val="20"/>
        </w:rPr>
        <w:t xml:space="preserve">Svetovni splet je pridobil veljavo </w:t>
      </w:r>
      <w:r w:rsidR="00E13BE1" w:rsidRPr="008C6A5D">
        <w:rPr>
          <w:rFonts w:ascii="Arial" w:hAnsi="Arial"/>
          <w:sz w:val="20"/>
          <w:szCs w:val="20"/>
        </w:rPr>
        <w:t xml:space="preserve">kot učinkovito sredstvo za izobraževanje o drogah in alkoholu, </w:t>
      </w:r>
      <w:r w:rsidR="007D6D0D">
        <w:rPr>
          <w:rFonts w:ascii="Arial" w:hAnsi="Arial"/>
          <w:sz w:val="20"/>
          <w:szCs w:val="20"/>
        </w:rPr>
        <w:t>preventivo</w:t>
      </w:r>
      <w:r w:rsidR="00E13BE1" w:rsidRPr="008C6A5D">
        <w:rPr>
          <w:rFonts w:ascii="Arial" w:hAnsi="Arial"/>
          <w:sz w:val="20"/>
          <w:szCs w:val="20"/>
        </w:rPr>
        <w:t xml:space="preserve"> in širjenje programov zdravljenja v različnih okoljih. </w:t>
      </w:r>
      <w:r w:rsidR="00E13BE1" w:rsidRPr="008C6A5D">
        <w:rPr>
          <w:rFonts w:ascii="Arial" w:hAnsi="Arial"/>
          <w:b/>
          <w:bCs/>
          <w:sz w:val="20"/>
          <w:szCs w:val="20"/>
        </w:rPr>
        <w:t>EMCDDA</w:t>
      </w:r>
      <w:r w:rsidR="00E13BE1" w:rsidRPr="008C6A5D">
        <w:rPr>
          <w:rFonts w:ascii="Arial" w:hAnsi="Arial"/>
          <w:sz w:val="20"/>
          <w:szCs w:val="20"/>
        </w:rPr>
        <w:t xml:space="preserve"> danes predstavlja razvoj spletnega zdravljenja odvisnosti od drog, ki se je v zadnjih desetih letih razširilo po Evropi, zlasti </w:t>
      </w:r>
      <w:r w:rsidR="00604388">
        <w:rPr>
          <w:rFonts w:ascii="Arial" w:hAnsi="Arial"/>
          <w:sz w:val="20"/>
          <w:szCs w:val="20"/>
        </w:rPr>
        <w:t>v povezavi s</w:t>
      </w:r>
      <w:r w:rsidR="00E13BE1" w:rsidRPr="008C6A5D">
        <w:rPr>
          <w:rFonts w:ascii="Arial" w:hAnsi="Arial"/>
          <w:sz w:val="20"/>
          <w:szCs w:val="20"/>
        </w:rPr>
        <w:t xml:space="preserve"> konoplj</w:t>
      </w:r>
      <w:r w:rsidR="00604388">
        <w:rPr>
          <w:rFonts w:ascii="Arial" w:hAnsi="Arial"/>
          <w:sz w:val="20"/>
          <w:szCs w:val="20"/>
        </w:rPr>
        <w:t>o</w:t>
      </w:r>
      <w:r w:rsidR="00E13BE1" w:rsidRPr="008C6A5D">
        <w:rPr>
          <w:rFonts w:ascii="Arial" w:hAnsi="Arial"/>
          <w:sz w:val="20"/>
          <w:szCs w:val="20"/>
        </w:rPr>
        <w:t xml:space="preserve">. Spletno zdravljenje odvisnosti od drog temelji na nizu preizkušenih psihosocialnih tehnik, združenih v nov spletni izvedbeni mehanizem. Čeprav je treba obravnavati pomembni vprašanji varstva podatkov in anonimnosti, pa </w:t>
      </w:r>
      <w:r>
        <w:rPr>
          <w:rFonts w:ascii="Arial" w:hAnsi="Arial"/>
          <w:sz w:val="20"/>
          <w:szCs w:val="20"/>
        </w:rPr>
        <w:t xml:space="preserve">utegnejo </w:t>
      </w:r>
      <w:r w:rsidR="00E13BE1" w:rsidRPr="008C6A5D">
        <w:rPr>
          <w:rFonts w:ascii="Arial" w:hAnsi="Arial"/>
          <w:sz w:val="20"/>
          <w:szCs w:val="20"/>
        </w:rPr>
        <w:t>koristi tov</w:t>
      </w:r>
      <w:r>
        <w:rPr>
          <w:rFonts w:ascii="Arial" w:hAnsi="Arial"/>
          <w:sz w:val="20"/>
          <w:szCs w:val="20"/>
        </w:rPr>
        <w:t xml:space="preserve">rstnega zagotavljanja storitev </w:t>
      </w:r>
      <w:r w:rsidR="00E13BE1" w:rsidRPr="008C6A5D">
        <w:rPr>
          <w:rFonts w:ascii="Arial" w:hAnsi="Arial"/>
          <w:sz w:val="20"/>
          <w:szCs w:val="20"/>
        </w:rPr>
        <w:t>vključ</w:t>
      </w:r>
      <w:r>
        <w:rPr>
          <w:rFonts w:ascii="Arial" w:hAnsi="Arial"/>
          <w:sz w:val="20"/>
          <w:szCs w:val="20"/>
        </w:rPr>
        <w:t>evati</w:t>
      </w:r>
      <w:r w:rsidR="00E13BE1" w:rsidRPr="008C6A5D">
        <w:rPr>
          <w:rFonts w:ascii="Arial" w:hAnsi="Arial"/>
          <w:sz w:val="20"/>
          <w:szCs w:val="20"/>
        </w:rPr>
        <w:t xml:space="preserve"> večje geografsko zajetje, dostop do uporabnikov, ki jih ne dosežejo specializirane službe</w:t>
      </w:r>
      <w:r w:rsidR="00E13BE1" w:rsidRPr="008C6A5D">
        <w:rPr>
          <w:rFonts w:ascii="Arial" w:eastAsia="TriviaSansBook" w:hAnsi="Arial"/>
          <w:sz w:val="20"/>
          <w:szCs w:val="20"/>
          <w:lang w:bidi="yi-Hebr"/>
        </w:rPr>
        <w:t xml:space="preserve"> za zdravlj</w:t>
      </w:r>
      <w:r>
        <w:rPr>
          <w:rFonts w:ascii="Arial" w:eastAsia="TriviaSansBook" w:hAnsi="Arial"/>
          <w:sz w:val="20"/>
          <w:szCs w:val="20"/>
          <w:lang w:bidi="yi-Hebr"/>
        </w:rPr>
        <w:t>enje odvisnosti od drog, in takojšnjo</w:t>
      </w:r>
      <w:r w:rsidR="00E13BE1" w:rsidRPr="008C6A5D">
        <w:rPr>
          <w:rFonts w:ascii="Arial" w:eastAsia="TriviaSansBook" w:hAnsi="Arial"/>
          <w:sz w:val="20"/>
          <w:szCs w:val="20"/>
          <w:lang w:bidi="yi-Hebr"/>
        </w:rPr>
        <w:t xml:space="preserve"> pomoč</w:t>
      </w:r>
      <w:r w:rsidR="00301F01">
        <w:rPr>
          <w:rFonts w:ascii="Arial" w:eastAsia="TriviaSansBook" w:hAnsi="Arial"/>
          <w:sz w:val="20"/>
          <w:szCs w:val="20"/>
          <w:lang w:bidi="yi-Hebr"/>
        </w:rPr>
        <w:t xml:space="preserve"> uporabnikom</w:t>
      </w:r>
      <w:r w:rsidR="00E13BE1" w:rsidRPr="008C6A5D">
        <w:rPr>
          <w:rFonts w:ascii="Arial" w:eastAsia="TriviaSansBook" w:hAnsi="Arial"/>
          <w:sz w:val="20"/>
          <w:szCs w:val="20"/>
          <w:lang w:bidi="yi-Hebr"/>
        </w:rPr>
        <w:t xml:space="preserve"> (brez čakalnih dob).</w:t>
      </w:r>
      <w:r w:rsidR="00E13BE1" w:rsidRPr="008C6A5D">
        <w:rPr>
          <w:rFonts w:ascii="Arial" w:hAnsi="Arial"/>
          <w:sz w:val="20"/>
          <w:szCs w:val="20"/>
        </w:rPr>
        <w:t xml:space="preserve"> Ko se bodo programi spletnega zdravljenja odvisnosti od drog uveljavili, bodo lahko koristno dopolnjevali storitve tradicionalnega zdravljenja, saj ponujajo nove </w:t>
      </w:r>
      <w:r w:rsidR="007D6D0D">
        <w:rPr>
          <w:rFonts w:ascii="Arial" w:hAnsi="Arial"/>
          <w:sz w:val="20"/>
          <w:szCs w:val="20"/>
        </w:rPr>
        <w:t>pristope k</w:t>
      </w:r>
      <w:r w:rsidR="00E13BE1" w:rsidRPr="008C6A5D">
        <w:rPr>
          <w:rFonts w:ascii="Arial" w:hAnsi="Arial"/>
          <w:sz w:val="20"/>
          <w:szCs w:val="20"/>
        </w:rPr>
        <w:t xml:space="preserve"> uporabniko</w:t>
      </w:r>
      <w:r w:rsidR="007D6D0D">
        <w:rPr>
          <w:rFonts w:ascii="Arial" w:hAnsi="Arial"/>
          <w:sz w:val="20"/>
          <w:szCs w:val="20"/>
        </w:rPr>
        <w:t>m</w:t>
      </w:r>
      <w:r w:rsidR="00E13BE1" w:rsidRPr="008C6A5D">
        <w:rPr>
          <w:rFonts w:ascii="Arial" w:hAnsi="Arial"/>
          <w:sz w:val="20"/>
          <w:szCs w:val="20"/>
        </w:rPr>
        <w:t xml:space="preserve"> drog, ki potrebujejo pomoč (glej videoposnetek).</w:t>
      </w:r>
    </w:p>
    <w:p w:rsidR="00E13BE1" w:rsidRPr="008C6A5D" w:rsidRDefault="00604388" w:rsidP="00E13BE1">
      <w:pPr>
        <w:spacing w:after="260" w:line="260" w:lineRule="exact"/>
        <w:rPr>
          <w:rFonts w:ascii="Arial" w:hAnsi="Arial"/>
          <w:b/>
          <w:sz w:val="20"/>
          <w:szCs w:val="20"/>
        </w:rPr>
      </w:pPr>
      <w:r>
        <w:rPr>
          <w:rFonts w:ascii="Arial" w:hAnsi="Arial"/>
          <w:b/>
          <w:sz w:val="20"/>
          <w:szCs w:val="20"/>
        </w:rPr>
        <w:t>Objavljena n</w:t>
      </w:r>
      <w:r w:rsidR="00E13BE1" w:rsidRPr="008C6A5D">
        <w:rPr>
          <w:rFonts w:ascii="Arial" w:hAnsi="Arial"/>
          <w:b/>
          <w:sz w:val="20"/>
          <w:szCs w:val="20"/>
        </w:rPr>
        <w:t>ajobsežnejša študija o analizi drog v odpadnih vodah, ki vključ</w:t>
      </w:r>
      <w:r>
        <w:rPr>
          <w:rFonts w:ascii="Arial" w:hAnsi="Arial"/>
          <w:b/>
          <w:sz w:val="20"/>
          <w:szCs w:val="20"/>
        </w:rPr>
        <w:t>uje</w:t>
      </w:r>
      <w:r w:rsidR="00E13BE1" w:rsidRPr="008C6A5D">
        <w:rPr>
          <w:rFonts w:ascii="Arial" w:hAnsi="Arial"/>
          <w:b/>
          <w:sz w:val="20"/>
          <w:szCs w:val="20"/>
        </w:rPr>
        <w:t xml:space="preserve"> </w:t>
      </w:r>
      <w:r>
        <w:rPr>
          <w:rFonts w:ascii="Arial" w:hAnsi="Arial"/>
          <w:b/>
          <w:sz w:val="20"/>
          <w:szCs w:val="20"/>
        </w:rPr>
        <w:t>številna</w:t>
      </w:r>
      <w:r w:rsidRPr="008C6A5D">
        <w:rPr>
          <w:rFonts w:ascii="Arial" w:hAnsi="Arial"/>
          <w:b/>
          <w:sz w:val="20"/>
          <w:szCs w:val="20"/>
        </w:rPr>
        <w:t xml:space="preserve"> </w:t>
      </w:r>
      <w:r w:rsidR="00E13BE1" w:rsidRPr="008C6A5D">
        <w:rPr>
          <w:rFonts w:ascii="Arial" w:hAnsi="Arial"/>
          <w:b/>
          <w:sz w:val="20"/>
          <w:szCs w:val="20"/>
        </w:rPr>
        <w:t>mest</w:t>
      </w:r>
      <w:r>
        <w:rPr>
          <w:rFonts w:ascii="Arial" w:hAnsi="Arial"/>
          <w:b/>
          <w:sz w:val="20"/>
          <w:szCs w:val="20"/>
        </w:rPr>
        <w:t>a</w:t>
      </w:r>
    </w:p>
    <w:p w:rsidR="00E13BE1" w:rsidRDefault="00E13BE1" w:rsidP="00E13BE1">
      <w:pPr>
        <w:pStyle w:val="CommentText"/>
        <w:spacing w:after="0" w:line="260" w:lineRule="exact"/>
        <w:rPr>
          <w:rFonts w:ascii="Arial" w:hAnsi="Arial"/>
          <w:lang w:val="sl-SI"/>
        </w:rPr>
      </w:pPr>
      <w:r w:rsidRPr="008C6A5D">
        <w:rPr>
          <w:rFonts w:ascii="Arial" w:hAnsi="Arial"/>
          <w:lang w:val="sl-SI"/>
        </w:rPr>
        <w:t xml:space="preserve">Danes so bile objavljene tudi ugotovitve </w:t>
      </w:r>
      <w:r w:rsidR="00DA6985">
        <w:rPr>
          <w:rFonts w:ascii="Arial" w:hAnsi="Arial"/>
          <w:lang w:val="sl-SI"/>
        </w:rPr>
        <w:t xml:space="preserve">doslej </w:t>
      </w:r>
      <w:r w:rsidRPr="008C6A5D">
        <w:rPr>
          <w:rFonts w:ascii="Arial" w:hAnsi="Arial"/>
          <w:lang w:val="sl-SI"/>
        </w:rPr>
        <w:t>največ</w:t>
      </w:r>
      <w:r w:rsidR="00DA6985">
        <w:rPr>
          <w:rFonts w:ascii="Arial" w:hAnsi="Arial"/>
          <w:lang w:val="sl-SI"/>
        </w:rPr>
        <w:t>jega evropskega projekta</w:t>
      </w:r>
      <w:r w:rsidRPr="008C6A5D">
        <w:rPr>
          <w:rFonts w:ascii="Arial" w:hAnsi="Arial"/>
          <w:lang w:val="sl-SI"/>
        </w:rPr>
        <w:t xml:space="preserve"> s</w:t>
      </w:r>
      <w:r w:rsidR="00DA6985">
        <w:rPr>
          <w:rFonts w:ascii="Arial" w:hAnsi="Arial"/>
          <w:lang w:val="sl-SI"/>
        </w:rPr>
        <w:t xml:space="preserve"> področja </w:t>
      </w:r>
      <w:r w:rsidR="00301F01">
        <w:rPr>
          <w:rFonts w:ascii="Arial" w:hAnsi="Arial"/>
          <w:lang w:val="sl-SI"/>
        </w:rPr>
        <w:t>novo nastajajoče</w:t>
      </w:r>
      <w:r w:rsidRPr="008C6A5D">
        <w:rPr>
          <w:rFonts w:ascii="Arial" w:hAnsi="Arial"/>
          <w:lang w:val="sl-SI"/>
        </w:rPr>
        <w:t xml:space="preserve"> znanosti o analizi odpadnih voda. V okviru </w:t>
      </w:r>
      <w:r w:rsidR="00EE4936">
        <w:rPr>
          <w:rFonts w:ascii="Arial" w:hAnsi="Arial"/>
          <w:lang w:val="sl-SI"/>
        </w:rPr>
        <w:t>tega</w:t>
      </w:r>
      <w:r w:rsidR="00EE4936" w:rsidRPr="008C6A5D">
        <w:rPr>
          <w:rFonts w:ascii="Arial" w:hAnsi="Arial"/>
          <w:lang w:val="sl-SI"/>
        </w:rPr>
        <w:t xml:space="preserve"> </w:t>
      </w:r>
      <w:r w:rsidRPr="008C6A5D">
        <w:rPr>
          <w:rFonts w:ascii="Arial" w:hAnsi="Arial"/>
          <w:lang w:val="sl-SI"/>
        </w:rPr>
        <w:t xml:space="preserve">projekta je bila analizirana odpadna voda v več kot 40 mestih (21 državah), </w:t>
      </w:r>
      <w:r w:rsidR="00DA6985">
        <w:rPr>
          <w:rFonts w:ascii="Arial" w:hAnsi="Arial"/>
          <w:lang w:val="sl-SI"/>
        </w:rPr>
        <w:t>da bi lahko prišli do podatkov o</w:t>
      </w:r>
      <w:r w:rsidRPr="008C6A5D">
        <w:rPr>
          <w:rFonts w:ascii="Arial" w:hAnsi="Arial"/>
          <w:lang w:val="sl-SI"/>
        </w:rPr>
        <w:t xml:space="preserve"> navad</w:t>
      </w:r>
      <w:r w:rsidR="00DA6985">
        <w:rPr>
          <w:rFonts w:ascii="Arial" w:hAnsi="Arial"/>
          <w:lang w:val="sl-SI"/>
        </w:rPr>
        <w:t>ah</w:t>
      </w:r>
      <w:r w:rsidRPr="008C6A5D">
        <w:rPr>
          <w:rFonts w:ascii="Arial" w:hAnsi="Arial"/>
          <w:lang w:val="sl-SI"/>
        </w:rPr>
        <w:t xml:space="preserve"> njihovih prebivalcev </w:t>
      </w:r>
      <w:r w:rsidR="00604388">
        <w:rPr>
          <w:rFonts w:ascii="Arial" w:hAnsi="Arial"/>
          <w:lang w:val="sl-SI"/>
        </w:rPr>
        <w:t>glede</w:t>
      </w:r>
      <w:r w:rsidRPr="008C6A5D">
        <w:rPr>
          <w:rFonts w:ascii="Arial" w:hAnsi="Arial"/>
          <w:lang w:val="sl-SI"/>
        </w:rPr>
        <w:t xml:space="preserve"> uporab</w:t>
      </w:r>
      <w:r w:rsidR="00604388">
        <w:rPr>
          <w:rFonts w:ascii="Arial" w:hAnsi="Arial"/>
          <w:lang w:val="sl-SI"/>
        </w:rPr>
        <w:t>e</w:t>
      </w:r>
      <w:r w:rsidRPr="008C6A5D">
        <w:rPr>
          <w:rFonts w:ascii="Arial" w:hAnsi="Arial"/>
          <w:lang w:val="sl-SI"/>
        </w:rPr>
        <w:t xml:space="preserve"> drog. Ugotovitve projekta so povzete v publikaciji </w:t>
      </w:r>
      <w:r w:rsidRPr="00416F1E">
        <w:rPr>
          <w:rFonts w:ascii="Arial" w:hAnsi="Arial"/>
          <w:b/>
          <w:lang w:val="sl-SI"/>
        </w:rPr>
        <w:t>EMCDDA</w:t>
      </w:r>
      <w:r w:rsidR="00FA3F43">
        <w:rPr>
          <w:rFonts w:ascii="Arial" w:hAnsi="Arial"/>
          <w:bCs/>
          <w:lang w:val="sl-SI"/>
        </w:rPr>
        <w:t xml:space="preserve"> Perspektive na področju</w:t>
      </w:r>
      <w:r w:rsidRPr="008C6A5D">
        <w:rPr>
          <w:rFonts w:ascii="Arial" w:hAnsi="Arial"/>
          <w:bCs/>
          <w:lang w:val="sl-SI"/>
        </w:rPr>
        <w:t xml:space="preserve"> drog, ki je </w:t>
      </w:r>
      <w:r w:rsidRPr="008C6A5D">
        <w:rPr>
          <w:rFonts w:ascii="Arial" w:hAnsi="Arial"/>
          <w:bCs/>
          <w:lang w:val="sl-SI"/>
        </w:rPr>
        <w:lastRenderedPageBreak/>
        <w:t>bila posvečena tej temi.</w:t>
      </w:r>
      <w:r w:rsidRPr="008C6A5D">
        <w:rPr>
          <w:rFonts w:ascii="Arial" w:hAnsi="Arial"/>
          <w:lang w:val="sl-SI"/>
        </w:rPr>
        <w:t xml:space="preserve"> Analizirane so bile odpadne vode približno 8 milijonov ljudi, pri čemer </w:t>
      </w:r>
      <w:r w:rsidR="00FA3F43">
        <w:rPr>
          <w:rFonts w:ascii="Arial" w:hAnsi="Arial"/>
          <w:lang w:val="sl-SI"/>
        </w:rPr>
        <w:t>so raziskovalci iskali</w:t>
      </w:r>
      <w:r w:rsidRPr="008C6A5D">
        <w:rPr>
          <w:rFonts w:ascii="Arial" w:hAnsi="Arial"/>
          <w:lang w:val="sl-SI"/>
        </w:rPr>
        <w:t xml:space="preserve"> sledi petih prepovedanih drog: amfetamina, konoplje, kokaina, ekstazija in metamfetamina (sporočilo za javnost št. 5/2014).</w:t>
      </w:r>
    </w:p>
    <w:p w:rsidR="00E13BE1" w:rsidRPr="008C6A5D" w:rsidRDefault="00E13BE1" w:rsidP="00E13BE1">
      <w:pPr>
        <w:pStyle w:val="CommentText"/>
        <w:spacing w:after="0" w:line="260" w:lineRule="exact"/>
        <w:rPr>
          <w:rFonts w:ascii="Arial" w:hAnsi="Arial"/>
          <w:lang w:val="sl-SI"/>
        </w:rPr>
      </w:pPr>
    </w:p>
    <w:p w:rsidR="00E13BE1" w:rsidRPr="008C6A5D" w:rsidRDefault="00E13BE1" w:rsidP="00E13BE1">
      <w:pPr>
        <w:pStyle w:val="newsContent"/>
      </w:pPr>
      <w:r w:rsidRPr="008C6A5D">
        <w:t xml:space="preserve">Rezultati zagotavljajo dragocen vpogled v pretok drog skozi </w:t>
      </w:r>
      <w:r w:rsidR="00EE4936">
        <w:t>vključena</w:t>
      </w:r>
      <w:r w:rsidR="00EE4936" w:rsidRPr="008C6A5D">
        <w:t xml:space="preserve"> </w:t>
      </w:r>
      <w:r w:rsidRPr="008C6A5D">
        <w:t xml:space="preserve">mesta in kažejo izrazite regionalne razlike v vzorcih uporabe drog. Sledi kokaina je bilo na primer več v zahodnih in nekaterih južnih mestih, manj pa v severnih in vzhodnih mestih. Najvišje ravni uporabe amfetamina, ki so bile </w:t>
      </w:r>
      <w:r w:rsidR="00EE4936">
        <w:t xml:space="preserve">sicer </w:t>
      </w:r>
      <w:r w:rsidRPr="008C6A5D">
        <w:t xml:space="preserve">razmeroma enakomerno razporejene, so bile ugotovljene na severu in severozahodu Evrope. Zdi se, da se uporaba metamfetamina, ki je na splošno majhna in tradicionalno skoncentrirana na Srednjo Evropo, širi. </w:t>
      </w:r>
      <w:r w:rsidR="00FA3F43">
        <w:t>Pri</w:t>
      </w:r>
      <w:r w:rsidRPr="008C6A5D">
        <w:t xml:space="preserve"> proučeva</w:t>
      </w:r>
      <w:r w:rsidR="00FA3F43">
        <w:t>nju</w:t>
      </w:r>
      <w:r w:rsidRPr="008C6A5D">
        <w:t xml:space="preserve"> tedenski</w:t>
      </w:r>
      <w:r w:rsidR="00FA3F43">
        <w:t>h</w:t>
      </w:r>
      <w:r w:rsidRPr="008C6A5D">
        <w:t xml:space="preserve"> vzorc</w:t>
      </w:r>
      <w:r w:rsidR="00FA3F43">
        <w:t>ev</w:t>
      </w:r>
      <w:r w:rsidRPr="008C6A5D">
        <w:t xml:space="preserve"> uporabe drog</w:t>
      </w:r>
      <w:r w:rsidR="00FA3F43">
        <w:t>, se je pokazalo, da</w:t>
      </w:r>
      <w:r w:rsidRPr="008C6A5D">
        <w:t xml:space="preserve"> so se v večini mest ob koncu tedna izrazito povišale ravni uporabe kokaina in </w:t>
      </w:r>
      <w:r w:rsidR="00FA3F43">
        <w:t>ekstazija, medtem ko je bila</w:t>
      </w:r>
      <w:r w:rsidRPr="008C6A5D">
        <w:t xml:space="preserve"> uporaba metamfetamina in konoplje enakomerneje razporejena čez teden.</w:t>
      </w:r>
    </w:p>
    <w:p w:rsidR="00CB49DA" w:rsidRPr="00655764" w:rsidRDefault="00E13BE1" w:rsidP="00E13BE1">
      <w:pPr>
        <w:pStyle w:val="newsContent"/>
      </w:pPr>
      <w:r w:rsidRPr="002F354A">
        <w:rPr>
          <w:b/>
          <w:szCs w:val="20"/>
        </w:rPr>
        <w:t>João Goulão</w:t>
      </w:r>
      <w:r w:rsidRPr="008C6A5D">
        <w:rPr>
          <w:b/>
          <w:szCs w:val="20"/>
        </w:rPr>
        <w:t>, predsednik upravnega odbora EMCDDA,</w:t>
      </w:r>
      <w:r w:rsidRPr="008C6A5D">
        <w:rPr>
          <w:bCs/>
          <w:szCs w:val="20"/>
        </w:rPr>
        <w:t xml:space="preserve"> pravi:</w:t>
      </w:r>
      <w:r w:rsidRPr="008C6A5D">
        <w:rPr>
          <w:szCs w:val="20"/>
        </w:rPr>
        <w:t xml:space="preserve"> </w:t>
      </w:r>
      <w:r w:rsidRPr="008C6A5D">
        <w:rPr>
          <w:color w:val="000000"/>
          <w:szCs w:val="20"/>
        </w:rPr>
        <w:t>„EMCDDA letos osvetljuje celo vrsto novih izzivov, ki jih prinašajo stimulansi in druge droge.</w:t>
      </w:r>
      <w:r w:rsidRPr="008C6A5D">
        <w:rPr>
          <w:szCs w:val="20"/>
          <w:lang w:eastAsia="en-GB"/>
        </w:rPr>
        <w:t xml:space="preserve"> Agencija pr</w:t>
      </w:r>
      <w:r w:rsidR="00FA3F43">
        <w:rPr>
          <w:szCs w:val="20"/>
          <w:lang w:eastAsia="en-GB"/>
        </w:rPr>
        <w:t>oučuje zlasti nastajajočo in čedalje</w:t>
      </w:r>
      <w:r w:rsidRPr="008C6A5D">
        <w:rPr>
          <w:szCs w:val="20"/>
          <w:lang w:eastAsia="en-GB"/>
        </w:rPr>
        <w:t xml:space="preserve"> obsežnejšo </w:t>
      </w:r>
      <w:r w:rsidRPr="008C6A5D">
        <w:rPr>
          <w:szCs w:val="20"/>
        </w:rPr>
        <w:t>podatkovno in informacijsko podlago za reševanje težav</w:t>
      </w:r>
      <w:r w:rsidR="00EE4936">
        <w:rPr>
          <w:szCs w:val="20"/>
        </w:rPr>
        <w:t>,</w:t>
      </w:r>
      <w:r w:rsidRPr="008C6A5D">
        <w:rPr>
          <w:szCs w:val="20"/>
        </w:rPr>
        <w:t xml:space="preserve"> </w:t>
      </w:r>
      <w:r w:rsidR="00EE4936">
        <w:rPr>
          <w:szCs w:val="20"/>
        </w:rPr>
        <w:t>povezanih</w:t>
      </w:r>
      <w:r w:rsidRPr="008C6A5D">
        <w:rPr>
          <w:szCs w:val="20"/>
        </w:rPr>
        <w:t xml:space="preserve"> z uporabo kokaina, metamfetamina in konoplje.</w:t>
      </w:r>
      <w:r w:rsidR="00FA3F43">
        <w:rPr>
          <w:szCs w:val="20"/>
          <w:lang w:eastAsia="en-GB"/>
        </w:rPr>
        <w:t xml:space="preserve"> Njihova skupna točka je pomembnost</w:t>
      </w:r>
      <w:r w:rsidRPr="008C6A5D">
        <w:rPr>
          <w:szCs w:val="20"/>
          <w:lang w:eastAsia="en-GB"/>
        </w:rPr>
        <w:t xml:space="preserve"> psihosocialnih intervencij, ki so dragocen del naših terapevtskih orodij za odzivanje na sodobno problematiko drog.</w:t>
      </w:r>
      <w:r w:rsidRPr="008C6A5D">
        <w:rPr>
          <w:color w:val="000000"/>
          <w:szCs w:val="20"/>
        </w:rPr>
        <w:t>“</w:t>
      </w:r>
      <w:bookmarkStart w:id="0" w:name="_GoBack"/>
      <w:bookmarkEnd w:id="0"/>
    </w:p>
    <w:sectPr w:rsidR="00CB49DA" w:rsidRPr="00655764" w:rsidSect="00416F1E">
      <w:headerReference w:type="default" r:id="rId10"/>
      <w:footerReference w:type="default" r:id="rId11"/>
      <w:footerReference w:type="first" r:id="rId12"/>
      <w:type w:val="continuous"/>
      <w:pgSz w:w="11906" w:h="16838" w:code="9"/>
      <w:pgMar w:top="1276" w:right="1276"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B5" w:rsidRDefault="00585AB5" w:rsidP="009A28FB">
      <w:pPr>
        <w:spacing w:after="0" w:line="240" w:lineRule="auto"/>
      </w:pPr>
      <w:r>
        <w:separator/>
      </w:r>
    </w:p>
  </w:endnote>
  <w:endnote w:type="continuationSeparator" w:id="0">
    <w:p w:rsidR="00585AB5" w:rsidRDefault="00585AB5"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riviaSans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15"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505"/>
      <w:gridCol w:w="1310"/>
    </w:tblGrid>
    <w:tr w:rsidR="000D2F87" w:rsidTr="00D94FA0">
      <w:tc>
        <w:tcPr>
          <w:tcW w:w="8505" w:type="dxa"/>
        </w:tcPr>
        <w:p w:rsidR="000D2F87" w:rsidRDefault="00416F1E" w:rsidP="00D94FA0">
          <w:pPr>
            <w:pStyle w:val="newsCoordinates"/>
          </w:pPr>
          <w:r>
            <w:rPr>
              <w:noProof/>
              <w:lang w:val="de-DE" w:eastAsia="de-DE"/>
            </w:rPr>
            <w:pict>
              <v:line id="_x0000_s2055" style="position:absolute;left:0;text-align:left;z-index:-251650048;visibility:visible;mso-position-horizontal-relative:page;mso-position-vertical-relative:page;mso-height-relative:margin" from="7.55pt,.5pt" to="7.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w:r>
          <w:r w:rsidR="000D2F87">
            <w:rPr>
              <w:noProof/>
              <w:lang w:val="pl-PL"/>
            </w:rPr>
            <w:t xml:space="preserve"> </w:t>
          </w:r>
          <w:r w:rsidR="000D2F87" w:rsidRPr="000D2F87">
            <w:rPr>
              <w:noProof/>
              <w:lang w:val="pl-PL"/>
            </w:rPr>
            <w:t>Perspektive na področju drog - na voljo v angleščini na spletnem naslovu</w:t>
          </w:r>
          <w:r w:rsidR="000D2F87">
            <w:rPr>
              <w:noProof/>
              <w:lang w:eastAsia="en-GB"/>
            </w:rPr>
            <w:t xml:space="preserve"> www.emcdda.europa.eu/edr2014</w:t>
          </w:r>
        </w:p>
      </w:tc>
      <w:tc>
        <w:tcPr>
          <w:tcW w:w="1310" w:type="dxa"/>
          <w:vAlign w:val="bottom"/>
        </w:tcPr>
        <w:p w:rsidR="000D2F87" w:rsidRDefault="000D2F87" w:rsidP="00D94FA0">
          <w:pPr>
            <w:pStyle w:val="newsReference"/>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CC3CB7" w:rsidP="00C11E4F">
          <w:pPr>
            <w:pStyle w:val="newsCoordinates"/>
          </w:pPr>
          <w:r w:rsidRPr="00CC3CB7">
            <w:t xml:space="preserve">Kontaktna oseba: </w:t>
          </w:r>
          <w:proofErr w:type="spellStart"/>
          <w:r w:rsidRPr="00CC3CB7">
            <w:t>Kathy</w:t>
          </w:r>
          <w:proofErr w:type="spellEnd"/>
          <w:r w:rsidRPr="00CC3CB7">
            <w:t xml:space="preserve"> Robertson, Odnosi z mediji</w:t>
          </w:r>
          <w:r w:rsidR="00416F1E">
            <w:rPr>
              <w:i/>
              <w:noProof/>
              <w:lang w:val="en-GB" w:eastAsia="en-GB"/>
            </w:rPr>
            <w:pict>
              <v:line id="Straight Connector 4" o:spid="_x0000_s2049" style="position:absolute;left:0;text-align:left;z-index:-251651072;visibility:visible;mso-position-horizontal-relative:page;mso-position-vertical-relative:page;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w:r>
          <w:r w:rsidR="0063677C">
            <w:t xml:space="preserve"> </w:t>
          </w:r>
        </w:p>
        <w:p w:rsidR="0063677C" w:rsidRDefault="00CC3CB7" w:rsidP="00C11E4F">
          <w:pPr>
            <w:pStyle w:val="newsCoordinates"/>
          </w:pPr>
          <w:r w:rsidRPr="00CC3CB7">
            <w:t>Praça Europa 1, Cais do Sodré, 1249-289 Lizbona, Portugalska</w:t>
          </w:r>
        </w:p>
        <w:p w:rsidR="0063677C" w:rsidRDefault="00CC3CB7" w:rsidP="00C11E4F">
          <w:pPr>
            <w:pStyle w:val="newsCoordinates"/>
          </w:pPr>
          <w:r w:rsidRPr="00CC3CB7">
            <w:t>Tel. (351) 211 21 02</w:t>
          </w:r>
          <w:r w:rsidR="00944227" w:rsidRPr="00944227">
            <w:t xml:space="preserve"> 00</w:t>
          </w:r>
          <w:r w:rsidR="0063677C">
            <w:t xml:space="preserve"> </w:t>
          </w:r>
          <w:r w:rsidR="0063677C" w:rsidRPr="00FC0187">
            <w:rPr>
              <w:sz w:val="18"/>
            </w:rPr>
            <w:t xml:space="preserve">I </w:t>
          </w:r>
          <w:r w:rsidR="0063677C">
            <w:t xml:space="preserve">press@emcdda.europa.eu </w:t>
          </w:r>
          <w:r w:rsidR="0063677C" w:rsidRPr="00FC0187">
            <w:rPr>
              <w:sz w:val="18"/>
            </w:rPr>
            <w:t>I</w:t>
          </w:r>
          <w:r w:rsidR="0063677C">
            <w:t xml:space="preserve"> emcdda.europa.eu</w:t>
          </w:r>
        </w:p>
      </w:tc>
      <w:tc>
        <w:tcPr>
          <w:tcW w:w="3294" w:type="dxa"/>
          <w:vAlign w:val="bottom"/>
        </w:tcPr>
        <w:p w:rsidR="0063677C" w:rsidRDefault="00BD0D0A" w:rsidP="00BD0D0A">
          <w:pPr>
            <w:pStyle w:val="newsReference"/>
            <w:jc w:val="right"/>
          </w:pPr>
          <w:r w:rsidRPr="00CC3CB7">
            <w:t xml:space="preserve">SL — </w:t>
          </w:r>
          <w:r>
            <w:t>š</w:t>
          </w:r>
          <w:r w:rsidRPr="00CC3CB7">
            <w:t>t.</w:t>
          </w:r>
          <w:r>
            <w:t> 4</w:t>
          </w:r>
          <w:r w:rsidRPr="00FC0187">
            <w:t>/</w:t>
          </w:r>
          <w:r>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B5" w:rsidRDefault="00585AB5" w:rsidP="009A28FB">
      <w:pPr>
        <w:spacing w:after="0" w:line="240" w:lineRule="auto"/>
      </w:pPr>
      <w:r>
        <w:separator/>
      </w:r>
    </w:p>
  </w:footnote>
  <w:footnote w:type="continuationSeparator" w:id="0">
    <w:p w:rsidR="00585AB5" w:rsidRDefault="00585AB5"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647"/>
      <w:gridCol w:w="1843"/>
    </w:tblGrid>
    <w:tr w:rsidR="00BF1E3B" w:rsidTr="002F354A">
      <w:tc>
        <w:tcPr>
          <w:tcW w:w="8647" w:type="dxa"/>
        </w:tcPr>
        <w:p w:rsidR="00BF1E3B" w:rsidRDefault="00416F1E" w:rsidP="00C11E4F">
          <w:pPr>
            <w:pStyle w:val="newsEmbargo"/>
          </w:pPr>
          <w:r>
            <w:rPr>
              <w:noProof/>
              <w:lang w:val="en-GB" w:eastAsia="en-GB"/>
            </w:rPr>
            <w:pict>
              <v:line id="Straight Connector 11" o:spid="_x0000_s2051" style="position:absolute;left:0;text-align:left;z-index:-251655168;visibility:visible;mso-position-horizontal-relative:page;mso-position-vertical-relative:page;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w:r>
          <w:r w:rsidR="00BF1E3B" w:rsidRPr="00CC4FDA">
            <w:rPr>
              <w:noProof/>
              <w:lang w:eastAsia="en-GB"/>
            </w:rPr>
            <w:t>P</w:t>
          </w:r>
          <w:r w:rsidR="007D1ADC">
            <w:rPr>
              <w:noProof/>
              <w:lang w:eastAsia="en-GB"/>
            </w:rPr>
            <w:t xml:space="preserve">erspektive </w:t>
          </w:r>
          <w:r w:rsidR="00301F01">
            <w:rPr>
              <w:noProof/>
              <w:lang w:eastAsia="en-GB"/>
            </w:rPr>
            <w:t>na področju</w:t>
          </w:r>
          <w:r w:rsidR="007D1ADC">
            <w:rPr>
              <w:noProof/>
              <w:lang w:eastAsia="en-GB"/>
            </w:rPr>
            <w:t xml:space="preserve"> drog </w:t>
          </w:r>
          <w:r w:rsidR="00BF1E3B" w:rsidRPr="00CC4FDA">
            <w:rPr>
              <w:noProof/>
              <w:sz w:val="18"/>
              <w:lang w:eastAsia="en-GB"/>
            </w:rPr>
            <w:t>I</w:t>
          </w:r>
          <w:r w:rsidR="00BF1E3B" w:rsidRPr="00CC4FDA">
            <w:rPr>
              <w:noProof/>
              <w:lang w:eastAsia="en-GB"/>
            </w:rPr>
            <w:t xml:space="preserve"> </w:t>
          </w:r>
          <w:r w:rsidR="007D1ADC" w:rsidRPr="00416F1E">
            <w:rPr>
              <w:b/>
              <w:noProof/>
              <w:color w:val="FF0000"/>
              <w:lang w:val="pl-PL" w:eastAsia="en-GB"/>
            </w:rPr>
            <w:t>PREPOVED OBJAVE DO 10. URE PO ZAHODNOEVROPSKEM ČASU/LIZBONSKEM ČASU</w:t>
          </w:r>
        </w:p>
      </w:tc>
      <w:tc>
        <w:tcPr>
          <w:tcW w:w="1843" w:type="dxa"/>
          <w:vAlign w:val="bottom"/>
        </w:tcPr>
        <w:p w:rsidR="00BF1E3B" w:rsidRDefault="00BF1E3B" w:rsidP="00BD0D0A">
          <w:pPr>
            <w:pStyle w:val="newsReference"/>
            <w:jc w:val="right"/>
          </w:pPr>
          <w:r w:rsidRPr="00CC4FDA">
            <w:t>2</w:t>
          </w:r>
          <w:r w:rsidR="00BD0D0A">
            <w:t>7</w:t>
          </w:r>
          <w:r w:rsidRPr="00CC4FDA">
            <w:t>.</w:t>
          </w:r>
          <w:r w:rsidR="00BD0D0A">
            <w:t> 5</w:t>
          </w:r>
          <w:r w:rsidRPr="00CC4FDA">
            <w:t>.</w:t>
          </w:r>
          <w:r w:rsidR="00BD0D0A">
            <w:t> </w:t>
          </w:r>
          <w:r w:rsidRPr="00CC4FDA">
            <w:t>201</w:t>
          </w:r>
          <w:r w:rsidR="00BD0D0A">
            <w:t>4</w:t>
          </w:r>
        </w:p>
      </w:tc>
    </w:tr>
  </w:tbl>
  <w:p w:rsidR="00BF1E3B" w:rsidRDefault="00BF1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0D0A"/>
    <w:rsid w:val="00001A5E"/>
    <w:rsid w:val="00014E8E"/>
    <w:rsid w:val="00025C96"/>
    <w:rsid w:val="00036DAA"/>
    <w:rsid w:val="00042EDA"/>
    <w:rsid w:val="000535B7"/>
    <w:rsid w:val="00067DD3"/>
    <w:rsid w:val="00075735"/>
    <w:rsid w:val="00092611"/>
    <w:rsid w:val="000C6200"/>
    <w:rsid w:val="000D25B6"/>
    <w:rsid w:val="000D2F87"/>
    <w:rsid w:val="000D6E5B"/>
    <w:rsid w:val="00105BFC"/>
    <w:rsid w:val="00107C96"/>
    <w:rsid w:val="001574E2"/>
    <w:rsid w:val="001677F6"/>
    <w:rsid w:val="0017713E"/>
    <w:rsid w:val="001800D0"/>
    <w:rsid w:val="001A3338"/>
    <w:rsid w:val="001C795A"/>
    <w:rsid w:val="001D5C26"/>
    <w:rsid w:val="001E39A7"/>
    <w:rsid w:val="001F6C59"/>
    <w:rsid w:val="001F70B4"/>
    <w:rsid w:val="00223753"/>
    <w:rsid w:val="002557B0"/>
    <w:rsid w:val="002646E4"/>
    <w:rsid w:val="0026546B"/>
    <w:rsid w:val="0026567F"/>
    <w:rsid w:val="0027252D"/>
    <w:rsid w:val="0028141E"/>
    <w:rsid w:val="002948E2"/>
    <w:rsid w:val="002A52CE"/>
    <w:rsid w:val="002A61F7"/>
    <w:rsid w:val="002B05CE"/>
    <w:rsid w:val="002B45AC"/>
    <w:rsid w:val="002F354A"/>
    <w:rsid w:val="00301F01"/>
    <w:rsid w:val="0030486D"/>
    <w:rsid w:val="00306F3B"/>
    <w:rsid w:val="00317B5A"/>
    <w:rsid w:val="003200B1"/>
    <w:rsid w:val="0033158E"/>
    <w:rsid w:val="00351881"/>
    <w:rsid w:val="0036121D"/>
    <w:rsid w:val="00373A4D"/>
    <w:rsid w:val="003770FE"/>
    <w:rsid w:val="00387D02"/>
    <w:rsid w:val="003B41B1"/>
    <w:rsid w:val="003C0395"/>
    <w:rsid w:val="003D0487"/>
    <w:rsid w:val="004137B0"/>
    <w:rsid w:val="00416F1E"/>
    <w:rsid w:val="004221D3"/>
    <w:rsid w:val="0044111C"/>
    <w:rsid w:val="00445080"/>
    <w:rsid w:val="0045468D"/>
    <w:rsid w:val="0046179A"/>
    <w:rsid w:val="00474AC8"/>
    <w:rsid w:val="004847FB"/>
    <w:rsid w:val="004B6FBB"/>
    <w:rsid w:val="004C3028"/>
    <w:rsid w:val="004D6E0C"/>
    <w:rsid w:val="00520EF1"/>
    <w:rsid w:val="00541A97"/>
    <w:rsid w:val="00542CEE"/>
    <w:rsid w:val="00564A8A"/>
    <w:rsid w:val="0057395D"/>
    <w:rsid w:val="00585AB5"/>
    <w:rsid w:val="00594D1E"/>
    <w:rsid w:val="005A0DC8"/>
    <w:rsid w:val="005B05A0"/>
    <w:rsid w:val="005B0882"/>
    <w:rsid w:val="005B1B63"/>
    <w:rsid w:val="005C4033"/>
    <w:rsid w:val="005E734D"/>
    <w:rsid w:val="00601EAE"/>
    <w:rsid w:val="00604388"/>
    <w:rsid w:val="006116D9"/>
    <w:rsid w:val="00623A55"/>
    <w:rsid w:val="0063677C"/>
    <w:rsid w:val="00655764"/>
    <w:rsid w:val="006568FE"/>
    <w:rsid w:val="00666A63"/>
    <w:rsid w:val="00670BC4"/>
    <w:rsid w:val="0069096E"/>
    <w:rsid w:val="006C70A0"/>
    <w:rsid w:val="007003A8"/>
    <w:rsid w:val="007201CE"/>
    <w:rsid w:val="00730132"/>
    <w:rsid w:val="00733C66"/>
    <w:rsid w:val="00737455"/>
    <w:rsid w:val="00741F0A"/>
    <w:rsid w:val="00773814"/>
    <w:rsid w:val="00783718"/>
    <w:rsid w:val="00790E53"/>
    <w:rsid w:val="00791F09"/>
    <w:rsid w:val="007920E3"/>
    <w:rsid w:val="007927D2"/>
    <w:rsid w:val="007B0E03"/>
    <w:rsid w:val="007B1CCD"/>
    <w:rsid w:val="007D1ADC"/>
    <w:rsid w:val="007D6D0D"/>
    <w:rsid w:val="007F0EAD"/>
    <w:rsid w:val="00813FB5"/>
    <w:rsid w:val="0081623D"/>
    <w:rsid w:val="00826CFF"/>
    <w:rsid w:val="008314B4"/>
    <w:rsid w:val="008339A3"/>
    <w:rsid w:val="00837F8F"/>
    <w:rsid w:val="00841E86"/>
    <w:rsid w:val="00860C28"/>
    <w:rsid w:val="00875018"/>
    <w:rsid w:val="00881730"/>
    <w:rsid w:val="008969D9"/>
    <w:rsid w:val="008A32DE"/>
    <w:rsid w:val="008C1172"/>
    <w:rsid w:val="008C2EEE"/>
    <w:rsid w:val="008D54B3"/>
    <w:rsid w:val="008F177B"/>
    <w:rsid w:val="008F399E"/>
    <w:rsid w:val="00902300"/>
    <w:rsid w:val="00930F8E"/>
    <w:rsid w:val="00944227"/>
    <w:rsid w:val="00952DC1"/>
    <w:rsid w:val="009537A3"/>
    <w:rsid w:val="00955F0C"/>
    <w:rsid w:val="00974A27"/>
    <w:rsid w:val="009A28FB"/>
    <w:rsid w:val="009D6255"/>
    <w:rsid w:val="009E25FB"/>
    <w:rsid w:val="00A03329"/>
    <w:rsid w:val="00A0788A"/>
    <w:rsid w:val="00A2680B"/>
    <w:rsid w:val="00A27289"/>
    <w:rsid w:val="00A311EF"/>
    <w:rsid w:val="00A3254D"/>
    <w:rsid w:val="00A33853"/>
    <w:rsid w:val="00A661E2"/>
    <w:rsid w:val="00A75BFF"/>
    <w:rsid w:val="00A843D2"/>
    <w:rsid w:val="00A856B7"/>
    <w:rsid w:val="00AD7BFC"/>
    <w:rsid w:val="00AE093C"/>
    <w:rsid w:val="00AE1738"/>
    <w:rsid w:val="00AF13B3"/>
    <w:rsid w:val="00AF259D"/>
    <w:rsid w:val="00B075B6"/>
    <w:rsid w:val="00B11B73"/>
    <w:rsid w:val="00B2008C"/>
    <w:rsid w:val="00B272F1"/>
    <w:rsid w:val="00B33E47"/>
    <w:rsid w:val="00B51E08"/>
    <w:rsid w:val="00B57464"/>
    <w:rsid w:val="00B61036"/>
    <w:rsid w:val="00B72DD3"/>
    <w:rsid w:val="00B7335C"/>
    <w:rsid w:val="00B74068"/>
    <w:rsid w:val="00B91C73"/>
    <w:rsid w:val="00B97BC5"/>
    <w:rsid w:val="00BB60CF"/>
    <w:rsid w:val="00BD0D0A"/>
    <w:rsid w:val="00BD730E"/>
    <w:rsid w:val="00BF1E3B"/>
    <w:rsid w:val="00BF69C9"/>
    <w:rsid w:val="00C11E4F"/>
    <w:rsid w:val="00C14586"/>
    <w:rsid w:val="00C36BC1"/>
    <w:rsid w:val="00C426F8"/>
    <w:rsid w:val="00C628C4"/>
    <w:rsid w:val="00C63254"/>
    <w:rsid w:val="00C874C0"/>
    <w:rsid w:val="00CA2FF5"/>
    <w:rsid w:val="00CB49DA"/>
    <w:rsid w:val="00CC3CB7"/>
    <w:rsid w:val="00CC4FDA"/>
    <w:rsid w:val="00CC6A8B"/>
    <w:rsid w:val="00CF1D2A"/>
    <w:rsid w:val="00D01335"/>
    <w:rsid w:val="00D03EC6"/>
    <w:rsid w:val="00D12148"/>
    <w:rsid w:val="00D3312B"/>
    <w:rsid w:val="00D37865"/>
    <w:rsid w:val="00D57367"/>
    <w:rsid w:val="00D84AE3"/>
    <w:rsid w:val="00D92A34"/>
    <w:rsid w:val="00DA6980"/>
    <w:rsid w:val="00DA6985"/>
    <w:rsid w:val="00DC485E"/>
    <w:rsid w:val="00DF39B6"/>
    <w:rsid w:val="00E13BE1"/>
    <w:rsid w:val="00E21156"/>
    <w:rsid w:val="00E233F5"/>
    <w:rsid w:val="00E57C9D"/>
    <w:rsid w:val="00E66CCD"/>
    <w:rsid w:val="00E76AD8"/>
    <w:rsid w:val="00E81F3D"/>
    <w:rsid w:val="00E83FC3"/>
    <w:rsid w:val="00E84EB5"/>
    <w:rsid w:val="00EB62C0"/>
    <w:rsid w:val="00EE23CC"/>
    <w:rsid w:val="00EE4936"/>
    <w:rsid w:val="00EF1466"/>
    <w:rsid w:val="00F06CDE"/>
    <w:rsid w:val="00F21CA9"/>
    <w:rsid w:val="00F24096"/>
    <w:rsid w:val="00F249CD"/>
    <w:rsid w:val="00F2543A"/>
    <w:rsid w:val="00F414EF"/>
    <w:rsid w:val="00F47542"/>
    <w:rsid w:val="00FA3F43"/>
    <w:rsid w:val="00FA5223"/>
    <w:rsid w:val="00FB351B"/>
    <w:rsid w:val="00FC0187"/>
    <w:rsid w:val="00FD10DB"/>
    <w:rsid w:val="00FE3721"/>
    <w:rsid w:val="00FE4789"/>
    <w:rsid w:val="00FF1720"/>
    <w:rsid w:val="00FF1CAD"/>
  </w:rsids>
  <m:mathPr>
    <m:mathFont m:val="Cambria Math"/>
    <m:brkBin m:val="before"/>
    <m:brkBinSub m:val="--"/>
    <m:smallFrac m:val="0"/>
    <m:dispDef/>
    <m:lMargin m:val="0"/>
    <m:rMargin m:val="0"/>
    <m:defJc m:val="centerGroup"/>
    <m:wrapIndent m:val="1440"/>
    <m:intLim m:val="subSup"/>
    <m:naryLim m:val="undOvr"/>
  </m:mathPr>
  <w:themeFontLang w:val="sl-SI" w:bidi="yi-He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5D"/>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uiPriority w:val="99"/>
    <w:qFormat/>
    <w:rsid w:val="00416F1E"/>
    <w:pPr>
      <w:tabs>
        <w:tab w:val="left" w:pos="5205"/>
      </w:tabs>
      <w:spacing w:before="480" w:after="120" w:line="300" w:lineRule="exact"/>
    </w:pPr>
    <w:rPr>
      <w:rFonts w:ascii="Arial" w:hAnsi="Arial"/>
      <w:caps/>
      <w:sz w:val="24"/>
      <w:szCs w:val="24"/>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uiPriority w:val="99"/>
    <w:qFormat/>
    <w:rsid w:val="00416F1E"/>
    <w:pPr>
      <w:spacing w:after="300" w:line="300" w:lineRule="exact"/>
    </w:pPr>
    <w:rPr>
      <w:rFonts w:ascii="Arial" w:hAnsi="Arial"/>
      <w:b/>
      <w:sz w:val="20"/>
      <w:szCs w:val="20"/>
    </w:rPr>
  </w:style>
  <w:style w:type="paragraph" w:customStyle="1" w:styleId="newsContent">
    <w:name w:val="newsContent"/>
    <w:basedOn w:val="Normal"/>
    <w:link w:val="newsContentChar"/>
    <w:autoRedefine/>
    <w:uiPriority w:val="99"/>
    <w:qFormat/>
    <w:rsid w:val="00CC3CB7"/>
    <w:pPr>
      <w:spacing w:after="260" w:line="260" w:lineRule="exact"/>
    </w:pPr>
    <w:rPr>
      <w:rFonts w:ascii="Arial" w:hAnsi="Arial"/>
      <w:color w:val="000000" w:themeColor="text1"/>
      <w:sz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CC3CB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C11E4F"/>
    <w:pPr>
      <w:tabs>
        <w:tab w:val="clear" w:pos="9072"/>
        <w:tab w:val="right" w:pos="8222"/>
      </w:tabs>
      <w:spacing w:line="200" w:lineRule="exact"/>
      <w:ind w:left="84" w:right="-6835" w:firstLine="1"/>
    </w:pPr>
    <w:rPr>
      <w:rFonts w:ascii="Arial" w:hAnsi="Arial"/>
      <w:sz w:val="14"/>
    </w:rPr>
  </w:style>
  <w:style w:type="paragraph" w:customStyle="1" w:styleId="newsEmbargo">
    <w:name w:val="newsEmbargo"/>
    <w:basedOn w:val="newsCoordinates"/>
    <w:autoRedefine/>
    <w:qFormat/>
    <w:rsid w:val="00CC3CB7"/>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C3CB7"/>
    <w:pPr>
      <w:spacing w:after="0"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uiPriority w:val="99"/>
    <w:rsid w:val="00CC3CB7"/>
    <w:rPr>
      <w:rFonts w:ascii="Arial" w:hAnsi="Arial"/>
      <w:color w:val="000000" w:themeColor="text1"/>
      <w:sz w:val="20"/>
      <w:lang w:val="sl-SI"/>
    </w:rPr>
  </w:style>
  <w:style w:type="character" w:customStyle="1" w:styleId="newsNotesChar">
    <w:name w:val="newsNotes Char"/>
    <w:basedOn w:val="newsContentChar"/>
    <w:link w:val="newsNotes"/>
    <w:rsid w:val="00CC3CB7"/>
    <w:rPr>
      <w:rFonts w:ascii="Arial" w:hAnsi="Arial"/>
      <w:color w:val="000000" w:themeColor="text1"/>
      <w:sz w:val="17"/>
      <w:lang w:val="sl-SI"/>
    </w:rPr>
  </w:style>
  <w:style w:type="character" w:customStyle="1" w:styleId="newsNotesNumberChar">
    <w:name w:val="newsNotesNumber Char"/>
    <w:basedOn w:val="newsNotesChar"/>
    <w:link w:val="newsNotesNumber"/>
    <w:rsid w:val="00CB49DA"/>
    <w:rPr>
      <w:rFonts w:ascii="Arial" w:hAnsi="Arial"/>
      <w:color w:val="000000" w:themeColor="text1"/>
      <w:sz w:val="17"/>
      <w:vertAlign w:val="superscript"/>
      <w:lang w:val="sl-SI"/>
    </w:rPr>
  </w:style>
  <w:style w:type="paragraph" w:styleId="CommentText">
    <w:name w:val="annotation text"/>
    <w:basedOn w:val="Normal"/>
    <w:link w:val="CommentTextChar"/>
    <w:uiPriority w:val="99"/>
    <w:rsid w:val="00E13BE1"/>
    <w:pPr>
      <w:spacing w:line="240" w:lineRule="auto"/>
    </w:pPr>
    <w:rPr>
      <w:rFonts w:ascii="Calibri" w:eastAsia="Calibri" w:hAnsi="Calibri" w:cs="Arial"/>
      <w:sz w:val="20"/>
      <w:szCs w:val="20"/>
      <w:lang w:val="en-GB"/>
    </w:rPr>
  </w:style>
  <w:style w:type="character" w:customStyle="1" w:styleId="CommentTextChar">
    <w:name w:val="Comment Text Char"/>
    <w:basedOn w:val="DefaultParagraphFont"/>
    <w:link w:val="CommentText"/>
    <w:uiPriority w:val="99"/>
    <w:rsid w:val="00E13BE1"/>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3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news-release-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88616-FBF3-47A4-B930-3A1EDC11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news-release-SL</Template>
  <TotalTime>106</TotalTime>
  <Pages>3</Pages>
  <Words>1347</Words>
  <Characters>7681</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News release SL</vt:lpstr>
      <vt:lpstr>News release SL</vt:lpstr>
    </vt:vector>
  </TitlesOfParts>
  <Manager>EMCDDA</Manager>
  <Company>Translation Centre</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SL</dc:title>
  <dc:subject>News release SL</dc:subject>
  <dc:creator>Translation Centre</dc:creator>
  <cp:lastModifiedBy>Kathryn Robertson</cp:lastModifiedBy>
  <cp:revision>6</cp:revision>
  <cp:lastPrinted>2014-04-04T12:51:00Z</cp:lastPrinted>
  <dcterms:created xsi:type="dcterms:W3CDTF">2014-05-15T14:51:00Z</dcterms:created>
  <dcterms:modified xsi:type="dcterms:W3CDTF">2014-05-21T15:09:00Z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y fmtid="{D5CDD505-2E9C-101B-9397-08002B2CF9AE}" pid="4" name="Language">
    <vt:lpwstr>SL</vt:lpwstr>
  </property>
</Properties>
</file>