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70" w:rightFromText="170" w:vertAnchor="page" w:horzAnchor="margin" w:tblpXSpec="center" w:tblpY="710"/>
        <w:tblW w:w="5615" w:type="pct"/>
        <w:tblLayout w:type="fixed"/>
        <w:tblCellMar>
          <w:left w:w="142" w:type="dxa"/>
          <w:right w:w="0" w:type="dxa"/>
        </w:tblCellMar>
        <w:tblLook w:val="0080" w:firstRow="0" w:lastRow="0" w:firstColumn="1" w:lastColumn="0" w:noHBand="0" w:noVBand="0"/>
      </w:tblPr>
      <w:tblGrid>
        <w:gridCol w:w="4972"/>
        <w:gridCol w:w="5692"/>
      </w:tblGrid>
      <w:tr w:rsidR="00A55269">
        <w:trPr>
          <w:trHeight w:val="1695"/>
        </w:trPr>
        <w:tc>
          <w:tcPr>
            <w:tcW w:w="2331" w:type="pct"/>
          </w:tcPr>
          <w:p w:rsidR="00A55269" w:rsidRDefault="003E33AE">
            <w:pPr>
              <w:spacing w:after="0" w:line="240" w:lineRule="auto"/>
              <w:rPr>
                <w:szCs w:val="24"/>
                <w:lang w:val="sv-SE"/>
              </w:rPr>
            </w:pPr>
            <w:r>
              <w:rPr>
                <w:szCs w:val="24"/>
                <w:lang w:val="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28pt;height:47.25pt;visibility:visible">
                  <v:imagedata r:id="rId8" o:title=""/>
                </v:shape>
              </w:pict>
            </w:r>
          </w:p>
        </w:tc>
        <w:tc>
          <w:tcPr>
            <w:tcW w:w="2669" w:type="pct"/>
          </w:tcPr>
          <w:p w:rsidR="00A55269" w:rsidRDefault="00A55269">
            <w:pPr>
              <w:spacing w:after="0" w:line="240" w:lineRule="auto"/>
              <w:rPr>
                <w:szCs w:val="24"/>
                <w:lang w:val="sv-SE"/>
              </w:rPr>
            </w:pPr>
          </w:p>
        </w:tc>
      </w:tr>
    </w:tbl>
    <w:p w:rsidR="000364A7" w:rsidRPr="000364A7" w:rsidRDefault="000364A7" w:rsidP="000364A7">
      <w:pPr>
        <w:spacing w:after="0"/>
        <w:rPr>
          <w:vanish/>
        </w:rPr>
      </w:pPr>
    </w:p>
    <w:tbl>
      <w:tblPr>
        <w:tblW w:w="12796" w:type="dxa"/>
        <w:tblInd w:w="-1271" w:type="dxa"/>
        <w:tblLayout w:type="fixed"/>
        <w:tblCellMar>
          <w:left w:w="0" w:type="dxa"/>
          <w:right w:w="0" w:type="dxa"/>
        </w:tblCellMar>
        <w:tblLook w:val="00A0" w:firstRow="1" w:lastRow="0" w:firstColumn="1" w:lastColumn="0" w:noHBand="0" w:noVBand="0"/>
      </w:tblPr>
      <w:tblGrid>
        <w:gridCol w:w="12796"/>
      </w:tblGrid>
      <w:tr w:rsidR="00A55269">
        <w:trPr>
          <w:trHeight w:val="1304"/>
        </w:trPr>
        <w:tc>
          <w:tcPr>
            <w:tcW w:w="12796" w:type="dxa"/>
            <w:vAlign w:val="bottom"/>
          </w:tcPr>
          <w:p w:rsidR="00A55269" w:rsidRDefault="003E33AE">
            <w:pPr>
              <w:spacing w:after="0" w:line="240" w:lineRule="auto"/>
              <w:rPr>
                <w:szCs w:val="24"/>
                <w:lang w:val="sv-SE"/>
              </w:rPr>
            </w:pPr>
            <w:r>
              <w:rPr>
                <w:szCs w:val="24"/>
                <w:lang w:val="sv-SE"/>
              </w:rPr>
              <w:pict>
                <v:shape id="Picture 5" o:spid="_x0000_i1026" type="#_x0000_t75" style="width:595.5pt;height:1in;visibility:visible">
                  <v:imagedata r:id="rId9" o:title=""/>
                </v:shape>
              </w:pict>
            </w:r>
          </w:p>
        </w:tc>
      </w:tr>
    </w:tbl>
    <w:p w:rsidR="00A55269" w:rsidRDefault="002645A8" w:rsidP="00CA5FA2">
      <w:pPr>
        <w:pStyle w:val="newsTitle"/>
        <w:rPr>
          <w:b/>
          <w:lang w:val="sv-SE"/>
        </w:rPr>
      </w:pPr>
      <w:r>
        <w:rPr>
          <w:lang w:val="sv-SE"/>
        </w:rPr>
        <w:t>Europeisk narkotikarapport</w:t>
      </w:r>
      <w:r w:rsidR="00A55269">
        <w:rPr>
          <w:lang w:val="sv-SE"/>
        </w:rPr>
        <w:t xml:space="preserve"> 2014 – perspektiv på narkotika </w:t>
      </w:r>
    </w:p>
    <w:p w:rsidR="00A55269" w:rsidRDefault="00A55269" w:rsidP="00BC0C6F">
      <w:pPr>
        <w:pStyle w:val="newsSubTitle"/>
        <w:rPr>
          <w:szCs w:val="24"/>
          <w:lang w:val="sv-SE"/>
        </w:rPr>
      </w:pPr>
      <w:r>
        <w:rPr>
          <w:szCs w:val="24"/>
          <w:lang w:val="sv-SE"/>
        </w:rPr>
        <w:t>EU:s narkotika</w:t>
      </w:r>
      <w:r w:rsidR="00BC0C6F">
        <w:rPr>
          <w:szCs w:val="24"/>
          <w:lang w:val="sv-SE"/>
        </w:rPr>
        <w:t>byrå</w:t>
      </w:r>
      <w:r>
        <w:rPr>
          <w:szCs w:val="24"/>
          <w:lang w:val="sv-SE"/>
        </w:rPr>
        <w:t xml:space="preserve"> fokuserar på sex ämnen i sina nya onlineanalyser </w:t>
      </w:r>
    </w:p>
    <w:p w:rsidR="00A55269" w:rsidRDefault="00A55269" w:rsidP="00D375AF">
      <w:pPr>
        <w:pStyle w:val="newsContent"/>
        <w:rPr>
          <w:lang w:val="sv-SE"/>
        </w:rPr>
      </w:pPr>
      <w:r>
        <w:rPr>
          <w:lang w:val="sv-SE"/>
        </w:rPr>
        <w:t xml:space="preserve">(27.5.2014, LISSABON – </w:t>
      </w:r>
      <w:r w:rsidRPr="005B6F0E">
        <w:rPr>
          <w:b/>
          <w:color w:val="FF0000"/>
          <w:lang w:val="sv-SE"/>
        </w:rPr>
        <w:t>FÅR EJ PUBLICERAS FÖRE kl. 10.00 WET/Lissabontid</w:t>
      </w:r>
      <w:r>
        <w:rPr>
          <w:lang w:val="sv-SE"/>
        </w:rPr>
        <w:t xml:space="preserve">) </w:t>
      </w:r>
      <w:r>
        <w:rPr>
          <w:b/>
          <w:lang w:val="sv-SE"/>
        </w:rPr>
        <w:t>EU:s narkotika</w:t>
      </w:r>
      <w:r w:rsidR="00BC0C6F">
        <w:rPr>
          <w:b/>
          <w:lang w:val="sv-SE"/>
        </w:rPr>
        <w:t>byrå</w:t>
      </w:r>
      <w:r w:rsidR="002645A8">
        <w:rPr>
          <w:b/>
          <w:lang w:val="sv-SE"/>
        </w:rPr>
        <w:t xml:space="preserve"> (EMCDDA</w:t>
      </w:r>
      <w:r>
        <w:rPr>
          <w:b/>
          <w:lang w:val="sv-SE"/>
        </w:rPr>
        <w:t>)</w:t>
      </w:r>
      <w:r w:rsidR="00583A56">
        <w:rPr>
          <w:lang w:val="sv-SE"/>
        </w:rPr>
        <w:t xml:space="preserve"> </w:t>
      </w:r>
      <w:r>
        <w:rPr>
          <w:lang w:val="sv-SE"/>
        </w:rPr>
        <w:t xml:space="preserve">presenterar i dag </w:t>
      </w:r>
      <w:r w:rsidR="002645A8">
        <w:rPr>
          <w:b/>
          <w:i/>
          <w:lang w:val="sv-SE"/>
        </w:rPr>
        <w:t>Europeisk narkotikarapport</w:t>
      </w:r>
      <w:r>
        <w:rPr>
          <w:b/>
          <w:i/>
          <w:lang w:val="sv-SE"/>
        </w:rPr>
        <w:t xml:space="preserve"> 2014:</w:t>
      </w:r>
      <w:r>
        <w:rPr>
          <w:lang w:val="sv-SE"/>
        </w:rPr>
        <w:t xml:space="preserve"> </w:t>
      </w:r>
      <w:r>
        <w:rPr>
          <w:b/>
          <w:i/>
          <w:lang w:val="sv-SE"/>
        </w:rPr>
        <w:t xml:space="preserve">Trender och utveckling </w:t>
      </w:r>
      <w:r>
        <w:rPr>
          <w:lang w:val="sv-SE"/>
        </w:rPr>
        <w:t xml:space="preserve">samt sex nya tillägg till sin webbserie </w:t>
      </w:r>
      <w:r>
        <w:rPr>
          <w:b/>
          <w:lang w:val="sv-SE"/>
        </w:rPr>
        <w:t>Perspektiv på narkotika</w:t>
      </w:r>
      <w:r>
        <w:rPr>
          <w:lang w:val="sv-SE"/>
        </w:rPr>
        <w:t xml:space="preserve"> </w:t>
      </w:r>
      <w:r w:rsidRPr="003E33AE">
        <w:rPr>
          <w:lang w:val="sv-SE"/>
        </w:rPr>
        <w:t>(</w:t>
      </w:r>
      <w:r w:rsidRPr="003E33AE">
        <w:rPr>
          <w:i/>
          <w:lang w:val="sv-SE"/>
        </w:rPr>
        <w:t>P</w:t>
      </w:r>
      <w:r w:rsidR="005B6F0E" w:rsidRPr="003E33AE">
        <w:rPr>
          <w:i/>
          <w:lang w:val="sv-SE"/>
        </w:rPr>
        <w:t>erspectives on drugs/PO</w:t>
      </w:r>
      <w:r w:rsidRPr="003E33AE">
        <w:rPr>
          <w:i/>
          <w:lang w:val="sv-SE"/>
        </w:rPr>
        <w:t>D</w:t>
      </w:r>
      <w:r w:rsidRPr="003E33AE">
        <w:rPr>
          <w:lang w:val="sv-SE"/>
        </w:rPr>
        <w:t>).</w:t>
      </w:r>
      <w:r>
        <w:rPr>
          <w:lang w:val="sv-SE"/>
        </w:rPr>
        <w:t xml:space="preserve"> De senaste interaktiva POD-analyserna i serien ger en aktuell översikt över viktiga aspekter av narkotikaläget i Europa: Nya problem i samband med missbruk av stimulerande medel, den senaste utvecklingen på den europeiska cannabismarknaden, framsteg inom internetbaserad behandling samt analyser av narkotika i avloppsvatten.</w:t>
      </w:r>
    </w:p>
    <w:p w:rsidR="00A55269" w:rsidRDefault="00A55269" w:rsidP="00D375AF">
      <w:pPr>
        <w:pStyle w:val="newsContent"/>
        <w:rPr>
          <w:lang w:val="sv-SE"/>
        </w:rPr>
      </w:pPr>
      <w:r w:rsidRPr="00D375AF">
        <w:rPr>
          <w:rFonts w:cs="Times New Roman"/>
          <w:b/>
          <w:color w:val="auto"/>
          <w:szCs w:val="24"/>
          <w:lang w:val="sv-SE"/>
        </w:rPr>
        <w:t>Synt</w:t>
      </w:r>
      <w:r w:rsidR="00583A56">
        <w:rPr>
          <w:rFonts w:cs="Times New Roman"/>
          <w:b/>
          <w:color w:val="auto"/>
          <w:szCs w:val="24"/>
          <w:lang w:val="sv-SE"/>
        </w:rPr>
        <w:t xml:space="preserve">etiska katinoner: oroande ökning </w:t>
      </w:r>
      <w:r w:rsidRPr="00D375AF">
        <w:rPr>
          <w:rFonts w:cs="Times New Roman"/>
          <w:b/>
          <w:color w:val="auto"/>
          <w:szCs w:val="24"/>
          <w:lang w:val="sv-SE"/>
        </w:rPr>
        <w:t xml:space="preserve">av </w:t>
      </w:r>
      <w:r w:rsidR="00936AC8">
        <w:rPr>
          <w:rFonts w:cs="Times New Roman"/>
          <w:b/>
          <w:color w:val="auto"/>
          <w:szCs w:val="24"/>
          <w:lang w:val="sv-SE"/>
        </w:rPr>
        <w:t xml:space="preserve">utbrott av </w:t>
      </w:r>
      <w:r w:rsidRPr="00D375AF">
        <w:rPr>
          <w:rFonts w:cs="Times New Roman"/>
          <w:b/>
          <w:color w:val="auto"/>
          <w:szCs w:val="24"/>
          <w:lang w:val="sv-SE"/>
        </w:rPr>
        <w:t>injektionsmissbruk</w:t>
      </w:r>
      <w:r w:rsidR="00583A56">
        <w:rPr>
          <w:rFonts w:cs="Times New Roman"/>
          <w:b/>
          <w:color w:val="auto"/>
          <w:szCs w:val="24"/>
          <w:lang w:val="sv-SE"/>
        </w:rPr>
        <w:t xml:space="preserve"> på lokal och nationell nivå</w:t>
      </w:r>
    </w:p>
    <w:p w:rsidR="00A55269" w:rsidRDefault="00A55269">
      <w:pPr>
        <w:spacing w:after="260" w:line="260" w:lineRule="exact"/>
        <w:rPr>
          <w:rFonts w:ascii="Arial" w:hAnsi="Arial"/>
          <w:szCs w:val="24"/>
          <w:lang w:val="sv-SE"/>
        </w:rPr>
      </w:pPr>
      <w:r>
        <w:rPr>
          <w:rFonts w:ascii="Arial" w:hAnsi="Arial"/>
          <w:sz w:val="20"/>
          <w:szCs w:val="24"/>
          <w:lang w:val="sv-SE"/>
        </w:rPr>
        <w:t xml:space="preserve">Under perioden 2005–2013 har över 50 syntetiska katinonderivat (stimulerande medel) upptäckts via </w:t>
      </w:r>
      <w:r>
        <w:rPr>
          <w:rFonts w:ascii="Arial" w:hAnsi="Arial"/>
          <w:b/>
          <w:sz w:val="20"/>
          <w:szCs w:val="24"/>
          <w:lang w:val="sv-SE"/>
        </w:rPr>
        <w:t>EU:s system för tidig varning</w:t>
      </w:r>
      <w:r>
        <w:rPr>
          <w:rFonts w:ascii="Arial" w:hAnsi="Arial"/>
          <w:sz w:val="20"/>
          <w:szCs w:val="24"/>
          <w:lang w:val="sv-SE"/>
        </w:rPr>
        <w:t xml:space="preserve"> </w:t>
      </w:r>
      <w:r>
        <w:rPr>
          <w:rFonts w:ascii="Arial" w:hAnsi="Arial"/>
          <w:b/>
          <w:sz w:val="20"/>
          <w:szCs w:val="24"/>
          <w:lang w:val="sv-SE"/>
        </w:rPr>
        <w:t>(EU–EWS)</w:t>
      </w:r>
      <w:r>
        <w:rPr>
          <w:rFonts w:ascii="Arial" w:hAnsi="Arial"/>
          <w:sz w:val="20"/>
          <w:szCs w:val="24"/>
          <w:lang w:val="sv-SE"/>
        </w:rPr>
        <w:t xml:space="preserve">. De ämnen som övervakas i EU–EWS är bland annat mefedron (som sedan 2010 omfattas av kontrollåtgärder i EU), MDPV (riskbedömdes i april 2014) </w:t>
      </w:r>
      <w:r w:rsidR="004B2B3C">
        <w:rPr>
          <w:rFonts w:ascii="Arial" w:hAnsi="Arial"/>
          <w:sz w:val="20"/>
          <w:szCs w:val="24"/>
          <w:lang w:val="sv-SE"/>
        </w:rPr>
        <w:t xml:space="preserve">          </w:t>
      </w:r>
      <w:r>
        <w:rPr>
          <w:rFonts w:ascii="Arial" w:hAnsi="Arial"/>
          <w:sz w:val="20"/>
          <w:szCs w:val="24"/>
          <w:lang w:val="sv-SE"/>
        </w:rPr>
        <w:t xml:space="preserve">och pentedron. Syntetiska katinoner kan sniffas i pulverform eller sväljas som tabletter, men </w:t>
      </w:r>
      <w:r w:rsidR="00921650">
        <w:rPr>
          <w:rFonts w:ascii="Arial" w:hAnsi="Arial"/>
          <w:b/>
          <w:sz w:val="20"/>
          <w:szCs w:val="24"/>
          <w:lang w:val="sv-SE"/>
        </w:rPr>
        <w:t>EU:s narkotikabyrå</w:t>
      </w:r>
      <w:r>
        <w:rPr>
          <w:rFonts w:ascii="Arial" w:hAnsi="Arial"/>
          <w:b/>
          <w:sz w:val="20"/>
          <w:szCs w:val="24"/>
          <w:lang w:val="sv-SE"/>
        </w:rPr>
        <w:t xml:space="preserve"> </w:t>
      </w:r>
      <w:r>
        <w:rPr>
          <w:rFonts w:ascii="Arial" w:hAnsi="Arial"/>
          <w:sz w:val="20"/>
          <w:szCs w:val="24"/>
          <w:lang w:val="sv-SE"/>
        </w:rPr>
        <w:t xml:space="preserve">undersöker nu </w:t>
      </w:r>
      <w:r w:rsidR="00936AC8">
        <w:rPr>
          <w:rFonts w:ascii="Arial" w:hAnsi="Arial"/>
          <w:sz w:val="20"/>
          <w:szCs w:val="24"/>
          <w:lang w:val="sv-SE"/>
        </w:rPr>
        <w:t xml:space="preserve">de </w:t>
      </w:r>
      <w:r>
        <w:rPr>
          <w:rFonts w:ascii="Arial" w:hAnsi="Arial"/>
          <w:sz w:val="20"/>
          <w:szCs w:val="24"/>
          <w:lang w:val="sv-SE"/>
        </w:rPr>
        <w:t xml:space="preserve">oroande </w:t>
      </w:r>
      <w:r w:rsidRPr="00583A56">
        <w:rPr>
          <w:rFonts w:ascii="Arial" w:hAnsi="Arial"/>
          <w:sz w:val="20"/>
          <w:szCs w:val="24"/>
          <w:lang w:val="sv-SE"/>
        </w:rPr>
        <w:t>utbrott</w:t>
      </w:r>
      <w:r w:rsidR="00936AC8">
        <w:rPr>
          <w:rFonts w:ascii="Arial" w:hAnsi="Arial"/>
          <w:sz w:val="20"/>
          <w:szCs w:val="24"/>
          <w:lang w:val="sv-SE"/>
        </w:rPr>
        <w:t>en</w:t>
      </w:r>
      <w:r>
        <w:rPr>
          <w:rFonts w:ascii="Arial" w:hAnsi="Arial"/>
          <w:sz w:val="20"/>
          <w:szCs w:val="24"/>
          <w:lang w:val="sv-SE"/>
        </w:rPr>
        <w:t xml:space="preserve"> av injektionsmissbruk av dessa ämnen. </w:t>
      </w:r>
    </w:p>
    <w:p w:rsidR="00A55269" w:rsidRDefault="00A55269">
      <w:pPr>
        <w:spacing w:after="260" w:line="260" w:lineRule="exact"/>
        <w:rPr>
          <w:rFonts w:ascii="Arial" w:hAnsi="Arial"/>
          <w:szCs w:val="24"/>
          <w:lang w:val="sv-SE"/>
        </w:rPr>
      </w:pPr>
      <w:r>
        <w:rPr>
          <w:rFonts w:ascii="Arial" w:hAnsi="Arial"/>
          <w:sz w:val="20"/>
          <w:szCs w:val="24"/>
          <w:lang w:val="sv-SE"/>
        </w:rPr>
        <w:t>Även om</w:t>
      </w:r>
      <w:r w:rsidR="00936AC8">
        <w:rPr>
          <w:rFonts w:ascii="Arial" w:hAnsi="Arial"/>
          <w:sz w:val="20"/>
          <w:szCs w:val="24"/>
          <w:lang w:val="sv-SE"/>
        </w:rPr>
        <w:t xml:space="preserve"> </w:t>
      </w:r>
      <w:r w:rsidR="00936AC8" w:rsidRPr="00936AC8">
        <w:rPr>
          <w:rFonts w:ascii="Arial" w:hAnsi="Arial"/>
          <w:sz w:val="20"/>
          <w:szCs w:val="24"/>
          <w:lang w:val="sv-SE"/>
        </w:rPr>
        <w:t>injektion</w:t>
      </w:r>
      <w:r>
        <w:rPr>
          <w:rFonts w:ascii="Arial" w:hAnsi="Arial"/>
          <w:sz w:val="20"/>
          <w:szCs w:val="24"/>
          <w:lang w:val="sv-SE"/>
        </w:rPr>
        <w:t xml:space="preserve"> </w:t>
      </w:r>
      <w:r w:rsidR="00936AC8">
        <w:rPr>
          <w:rFonts w:ascii="Arial" w:hAnsi="Arial"/>
          <w:sz w:val="20"/>
          <w:szCs w:val="24"/>
          <w:lang w:val="sv-SE"/>
        </w:rPr>
        <w:t xml:space="preserve">av </w:t>
      </w:r>
      <w:r>
        <w:rPr>
          <w:rFonts w:ascii="Arial" w:hAnsi="Arial"/>
          <w:sz w:val="20"/>
          <w:szCs w:val="24"/>
          <w:lang w:val="sv-SE"/>
        </w:rPr>
        <w:t>katinon inte är en utbre</w:t>
      </w:r>
      <w:r w:rsidR="00936AC8">
        <w:rPr>
          <w:rFonts w:ascii="Arial" w:hAnsi="Arial"/>
          <w:sz w:val="20"/>
          <w:szCs w:val="24"/>
          <w:lang w:val="sv-SE"/>
        </w:rPr>
        <w:t>tt</w:t>
      </w:r>
      <w:r>
        <w:rPr>
          <w:rFonts w:ascii="Arial" w:hAnsi="Arial"/>
          <w:sz w:val="20"/>
          <w:szCs w:val="24"/>
          <w:lang w:val="sv-SE"/>
        </w:rPr>
        <w:t xml:space="preserve">i Europa har </w:t>
      </w:r>
      <w:r w:rsidR="00936AC8">
        <w:rPr>
          <w:rFonts w:ascii="Arial" w:hAnsi="Arial"/>
          <w:sz w:val="20"/>
          <w:szCs w:val="24"/>
          <w:lang w:val="sv-SE"/>
        </w:rPr>
        <w:t>det</w:t>
      </w:r>
      <w:r>
        <w:rPr>
          <w:rFonts w:ascii="Arial" w:hAnsi="Arial"/>
          <w:sz w:val="20"/>
          <w:szCs w:val="24"/>
          <w:lang w:val="sv-SE"/>
        </w:rPr>
        <w:t xml:space="preserve"> konstaterats som ett lokalt problem i högriskgrupper bland missbrukare i vissa länder (bland andra </w:t>
      </w:r>
      <w:r>
        <w:rPr>
          <w:rFonts w:ascii="Arial" w:hAnsi="Arial"/>
          <w:b/>
          <w:sz w:val="20"/>
          <w:szCs w:val="24"/>
          <w:lang w:val="sv-SE"/>
        </w:rPr>
        <w:t xml:space="preserve">Tjeckien, Tyskland, Irland, Spanien, Österrike, Polen, Finland, Sverige </w:t>
      </w:r>
      <w:r>
        <w:rPr>
          <w:rFonts w:ascii="Arial" w:hAnsi="Arial"/>
          <w:sz w:val="20"/>
          <w:szCs w:val="24"/>
          <w:lang w:val="sv-SE"/>
        </w:rPr>
        <w:t xml:space="preserve">och </w:t>
      </w:r>
      <w:r>
        <w:rPr>
          <w:rFonts w:ascii="Arial" w:hAnsi="Arial"/>
          <w:b/>
          <w:sz w:val="20"/>
          <w:szCs w:val="24"/>
          <w:lang w:val="sv-SE"/>
        </w:rPr>
        <w:t>Storbritannien</w:t>
      </w:r>
      <w:r>
        <w:rPr>
          <w:rFonts w:ascii="Arial" w:hAnsi="Arial"/>
          <w:sz w:val="20"/>
          <w:szCs w:val="24"/>
          <w:lang w:val="sv-SE"/>
        </w:rPr>
        <w:t xml:space="preserve">). I </w:t>
      </w:r>
      <w:r>
        <w:rPr>
          <w:rFonts w:ascii="Arial" w:hAnsi="Arial"/>
          <w:b/>
          <w:sz w:val="20"/>
          <w:szCs w:val="24"/>
          <w:lang w:val="sv-SE"/>
        </w:rPr>
        <w:t xml:space="preserve">Ungern </w:t>
      </w:r>
      <w:r>
        <w:rPr>
          <w:rFonts w:ascii="Arial" w:hAnsi="Arial"/>
          <w:sz w:val="20"/>
          <w:szCs w:val="24"/>
          <w:lang w:val="sv-SE"/>
        </w:rPr>
        <w:t>och</w:t>
      </w:r>
      <w:r>
        <w:rPr>
          <w:rFonts w:ascii="Arial" w:hAnsi="Arial"/>
          <w:b/>
          <w:sz w:val="20"/>
          <w:szCs w:val="24"/>
          <w:lang w:val="sv-SE"/>
        </w:rPr>
        <w:t xml:space="preserve"> Rumänien</w:t>
      </w:r>
      <w:r>
        <w:rPr>
          <w:rFonts w:ascii="Arial" w:hAnsi="Arial"/>
          <w:sz w:val="20"/>
          <w:szCs w:val="24"/>
          <w:lang w:val="sv-SE"/>
        </w:rPr>
        <w:t xml:space="preserve"> har dock ett mer utbrett injektionsmissbruk av dessa substanser observerats. En </w:t>
      </w:r>
      <w:r w:rsidR="00936AC8">
        <w:rPr>
          <w:rFonts w:ascii="Arial" w:hAnsi="Arial"/>
          <w:sz w:val="20"/>
          <w:szCs w:val="24"/>
          <w:lang w:val="sv-SE"/>
        </w:rPr>
        <w:t xml:space="preserve">nationell </w:t>
      </w:r>
      <w:r>
        <w:rPr>
          <w:rFonts w:ascii="Arial" w:hAnsi="Arial"/>
          <w:sz w:val="20"/>
          <w:szCs w:val="24"/>
          <w:lang w:val="sv-SE"/>
        </w:rPr>
        <w:t xml:space="preserve">undersökning av kanyl- och sprutbytesprogram i </w:t>
      </w:r>
      <w:r>
        <w:rPr>
          <w:rFonts w:ascii="Arial" w:hAnsi="Arial"/>
          <w:b/>
          <w:sz w:val="20"/>
          <w:szCs w:val="24"/>
          <w:lang w:val="sv-SE"/>
        </w:rPr>
        <w:t>Ungern</w:t>
      </w:r>
      <w:r>
        <w:rPr>
          <w:rFonts w:ascii="Arial" w:hAnsi="Arial"/>
          <w:sz w:val="20"/>
          <w:szCs w:val="24"/>
          <w:lang w:val="sv-SE"/>
        </w:rPr>
        <w:t xml:space="preserve"> 2012 visade</w:t>
      </w:r>
      <w:r w:rsidR="00583A56">
        <w:rPr>
          <w:rFonts w:ascii="Arial" w:hAnsi="Arial"/>
          <w:sz w:val="20"/>
          <w:szCs w:val="24"/>
          <w:lang w:val="sv-SE"/>
        </w:rPr>
        <w:t xml:space="preserve"> exempelvis att 36 procent</w:t>
      </w:r>
      <w:r>
        <w:rPr>
          <w:rFonts w:ascii="Arial" w:hAnsi="Arial"/>
          <w:sz w:val="20"/>
          <w:szCs w:val="24"/>
          <w:lang w:val="sv-SE"/>
        </w:rPr>
        <w:t xml:space="preserve"> av klienterna injicerade katinoner som sin primärdrog. </w:t>
      </w:r>
    </w:p>
    <w:p w:rsidR="00A55269" w:rsidRDefault="00A55269">
      <w:pPr>
        <w:spacing w:after="260" w:line="260" w:lineRule="exact"/>
        <w:rPr>
          <w:szCs w:val="24"/>
          <w:lang w:val="sv-SE"/>
        </w:rPr>
      </w:pPr>
      <w:r>
        <w:rPr>
          <w:rFonts w:ascii="Arial" w:hAnsi="Arial"/>
          <w:sz w:val="20"/>
          <w:szCs w:val="24"/>
          <w:lang w:val="sv-SE"/>
        </w:rPr>
        <w:t xml:space="preserve">Ett alltmer oroväckande beteende bland subgrupper av män som har sex med män (MSM) är att injicera en blandning av olagliga narkotikapreparat (t.ex. katinoner och metamfetaminer) vid s.k. kem-sexpartyn. Denna nya trend har hittills rapporterats från vissa storstäder och är förknippad med riskabla sexuella vanor. Med hänsyn till de potentiella effekterna av de nya mönstren för katinoninjektion är det en prioriterad folkhälsofråga att noga övervaka problemet. </w:t>
      </w:r>
    </w:p>
    <w:p w:rsidR="00A55269" w:rsidRDefault="00A55269">
      <w:pPr>
        <w:spacing w:line="280" w:lineRule="auto"/>
        <w:rPr>
          <w:rFonts w:ascii="Arial" w:hAnsi="Arial"/>
          <w:szCs w:val="24"/>
          <w:lang w:val="sv-SE"/>
        </w:rPr>
      </w:pPr>
      <w:r w:rsidRPr="003E33AE">
        <w:rPr>
          <w:rFonts w:ascii="Arial" w:hAnsi="Arial"/>
          <w:b/>
          <w:sz w:val="20"/>
          <w:szCs w:val="24"/>
          <w:lang w:val="sv-SE"/>
        </w:rPr>
        <w:t xml:space="preserve">Metamfetamin: </w:t>
      </w:r>
      <w:r w:rsidR="005C0745" w:rsidRPr="003E33AE">
        <w:rPr>
          <w:rFonts w:ascii="Arial" w:hAnsi="Arial"/>
          <w:b/>
          <w:sz w:val="20"/>
          <w:szCs w:val="24"/>
          <w:lang w:val="sv-SE"/>
        </w:rPr>
        <w:t xml:space="preserve">växande oro när </w:t>
      </w:r>
      <w:r w:rsidRPr="003E33AE">
        <w:rPr>
          <w:rFonts w:ascii="Arial" w:hAnsi="Arial"/>
          <w:b/>
          <w:sz w:val="20"/>
          <w:szCs w:val="24"/>
          <w:lang w:val="sv-SE"/>
        </w:rPr>
        <w:t>nya och varierande missbruksmönster</w:t>
      </w:r>
      <w:r w:rsidR="003E33AE" w:rsidRPr="003E33AE">
        <w:rPr>
          <w:rFonts w:ascii="Arial" w:hAnsi="Arial"/>
          <w:b/>
          <w:sz w:val="20"/>
          <w:szCs w:val="24"/>
          <w:lang w:val="sv-SE"/>
        </w:rPr>
        <w:t xml:space="preserve"> </w:t>
      </w:r>
      <w:r w:rsidR="003E33AE" w:rsidRPr="003E33AE">
        <w:rPr>
          <w:rFonts w:ascii="Arial" w:hAnsi="Arial" w:cs="Arial"/>
          <w:b/>
          <w:sz w:val="20"/>
          <w:szCs w:val="20"/>
          <w:lang w:val="sv-SE" w:eastAsia="en-US"/>
        </w:rPr>
        <w:t>framträder</w:t>
      </w:r>
      <w:r w:rsidR="003E33AE" w:rsidRPr="003E33AE">
        <w:rPr>
          <w:rFonts w:ascii="Arial" w:hAnsi="Arial" w:cs="Arial"/>
          <w:b/>
          <w:sz w:val="20"/>
          <w:szCs w:val="20"/>
          <w:lang w:val="sv-SE"/>
        </w:rPr>
        <w:t xml:space="preserve"> </w:t>
      </w:r>
    </w:p>
    <w:p w:rsidR="00A55269" w:rsidRDefault="00A55269">
      <w:pPr>
        <w:spacing w:after="260" w:line="260" w:lineRule="exact"/>
        <w:ind w:right="-285"/>
        <w:rPr>
          <w:rFonts w:ascii="Arial" w:hAnsi="Arial"/>
          <w:szCs w:val="24"/>
          <w:lang w:val="sv-SE"/>
        </w:rPr>
      </w:pPr>
      <w:r>
        <w:rPr>
          <w:rFonts w:ascii="Arial" w:hAnsi="Arial"/>
          <w:sz w:val="20"/>
          <w:szCs w:val="24"/>
          <w:lang w:val="sv-SE"/>
        </w:rPr>
        <w:t xml:space="preserve">Metamfetamin är ett etablerat stimulerande medel i många delar av världen (t.ex. Sydostasien och USA), där det sedan länge har </w:t>
      </w:r>
      <w:r w:rsidR="005C0745">
        <w:rPr>
          <w:rFonts w:ascii="Arial" w:hAnsi="Arial"/>
          <w:sz w:val="20"/>
          <w:szCs w:val="24"/>
          <w:lang w:val="sv-SE"/>
        </w:rPr>
        <w:t>orsakat</w:t>
      </w:r>
      <w:r>
        <w:rPr>
          <w:rFonts w:ascii="Arial" w:hAnsi="Arial"/>
          <w:sz w:val="20"/>
          <w:szCs w:val="24"/>
          <w:lang w:val="sv-SE"/>
        </w:rPr>
        <w:t xml:space="preserve"> till stora folkhälsoproblem. I Europa har användning av metamfetamin historiskt varit begränsad till </w:t>
      </w:r>
      <w:r>
        <w:rPr>
          <w:rFonts w:ascii="Arial" w:hAnsi="Arial"/>
          <w:b/>
          <w:sz w:val="20"/>
          <w:szCs w:val="24"/>
          <w:lang w:val="sv-SE"/>
        </w:rPr>
        <w:t>Tjeckien</w:t>
      </w:r>
      <w:r>
        <w:rPr>
          <w:rFonts w:ascii="Arial" w:hAnsi="Arial"/>
          <w:sz w:val="20"/>
          <w:szCs w:val="24"/>
          <w:lang w:val="sv-SE"/>
        </w:rPr>
        <w:t xml:space="preserve"> och </w:t>
      </w:r>
      <w:r>
        <w:rPr>
          <w:rFonts w:ascii="Arial" w:hAnsi="Arial"/>
          <w:b/>
          <w:sz w:val="20"/>
          <w:szCs w:val="24"/>
          <w:lang w:val="sv-SE"/>
        </w:rPr>
        <w:t>Slovakien</w:t>
      </w:r>
      <w:r>
        <w:rPr>
          <w:rFonts w:ascii="Arial" w:hAnsi="Arial"/>
          <w:sz w:val="20"/>
          <w:szCs w:val="24"/>
          <w:lang w:val="sv-SE"/>
        </w:rPr>
        <w:t xml:space="preserve">, men nu uppträder nya fickor och användningsmönster på andra håll och inom flera olika befolkningsgrupper. Exempel är bland annat </w:t>
      </w:r>
      <w:r>
        <w:rPr>
          <w:rFonts w:ascii="Arial" w:hAnsi="Arial"/>
          <w:i/>
          <w:sz w:val="20"/>
          <w:szCs w:val="24"/>
          <w:lang w:val="sv-SE"/>
        </w:rPr>
        <w:t>sniffning</w:t>
      </w:r>
      <w:r>
        <w:rPr>
          <w:rFonts w:ascii="Arial" w:hAnsi="Arial"/>
          <w:sz w:val="20"/>
          <w:szCs w:val="24"/>
          <w:lang w:val="sv-SE"/>
        </w:rPr>
        <w:t xml:space="preserve"> av metamfetamin (pulver) bland dem som använder drogen som rekreation i </w:t>
      </w:r>
      <w:r>
        <w:rPr>
          <w:rFonts w:ascii="Arial" w:hAnsi="Arial"/>
          <w:b/>
          <w:sz w:val="20"/>
          <w:szCs w:val="24"/>
          <w:lang w:val="sv-SE"/>
        </w:rPr>
        <w:t>Tyskland</w:t>
      </w:r>
      <w:r>
        <w:rPr>
          <w:rFonts w:ascii="Arial" w:hAnsi="Arial"/>
          <w:sz w:val="20"/>
          <w:szCs w:val="24"/>
          <w:lang w:val="sv-SE"/>
        </w:rPr>
        <w:t xml:space="preserve">, </w:t>
      </w:r>
      <w:r>
        <w:rPr>
          <w:rFonts w:ascii="Arial" w:hAnsi="Arial"/>
          <w:i/>
          <w:sz w:val="20"/>
          <w:szCs w:val="24"/>
          <w:lang w:val="sv-SE"/>
        </w:rPr>
        <w:t xml:space="preserve">rökning </w:t>
      </w:r>
      <w:r>
        <w:rPr>
          <w:rFonts w:ascii="Arial" w:hAnsi="Arial"/>
          <w:sz w:val="20"/>
          <w:szCs w:val="24"/>
          <w:lang w:val="sv-SE"/>
        </w:rPr>
        <w:t xml:space="preserve">av metamfetaminkristaller bland injektionsmissbrukare av opioider i </w:t>
      </w:r>
      <w:r>
        <w:rPr>
          <w:rFonts w:ascii="Arial" w:hAnsi="Arial"/>
          <w:b/>
          <w:sz w:val="20"/>
          <w:szCs w:val="24"/>
          <w:lang w:val="sv-SE"/>
        </w:rPr>
        <w:t>Grekland</w:t>
      </w:r>
      <w:r>
        <w:rPr>
          <w:rFonts w:ascii="Arial" w:hAnsi="Arial"/>
          <w:sz w:val="20"/>
          <w:szCs w:val="24"/>
          <w:lang w:val="sv-SE"/>
        </w:rPr>
        <w:t xml:space="preserve">, </w:t>
      </w:r>
      <w:r>
        <w:rPr>
          <w:rFonts w:ascii="Arial" w:hAnsi="Arial"/>
          <w:b/>
          <w:sz w:val="20"/>
          <w:szCs w:val="24"/>
          <w:lang w:val="sv-SE"/>
        </w:rPr>
        <w:t>Cypern</w:t>
      </w:r>
      <w:r>
        <w:rPr>
          <w:rFonts w:ascii="Arial" w:hAnsi="Arial"/>
          <w:sz w:val="20"/>
          <w:szCs w:val="24"/>
          <w:lang w:val="sv-SE"/>
        </w:rPr>
        <w:t xml:space="preserve"> och </w:t>
      </w:r>
      <w:r>
        <w:rPr>
          <w:rFonts w:ascii="Arial" w:hAnsi="Arial"/>
          <w:b/>
          <w:sz w:val="20"/>
          <w:szCs w:val="24"/>
          <w:lang w:val="sv-SE"/>
        </w:rPr>
        <w:t>Turkiet</w:t>
      </w:r>
      <w:r>
        <w:rPr>
          <w:rFonts w:ascii="Arial" w:hAnsi="Arial"/>
          <w:sz w:val="20"/>
          <w:szCs w:val="24"/>
          <w:lang w:val="sv-SE"/>
        </w:rPr>
        <w:t xml:space="preserve"> samt </w:t>
      </w:r>
      <w:r>
        <w:rPr>
          <w:rFonts w:ascii="Arial" w:hAnsi="Arial"/>
          <w:i/>
          <w:sz w:val="20"/>
          <w:szCs w:val="24"/>
          <w:lang w:val="sv-SE"/>
        </w:rPr>
        <w:t xml:space="preserve">injektion </w:t>
      </w:r>
      <w:r>
        <w:rPr>
          <w:rFonts w:ascii="Arial" w:hAnsi="Arial"/>
          <w:sz w:val="20"/>
          <w:szCs w:val="24"/>
          <w:lang w:val="sv-SE"/>
        </w:rPr>
        <w:t xml:space="preserve">av medlet tillsammans med andra substanser bland MSM (se ovan). </w:t>
      </w:r>
    </w:p>
    <w:p w:rsidR="00A55269" w:rsidRDefault="00A55269" w:rsidP="00921650">
      <w:pPr>
        <w:spacing w:after="260" w:line="260" w:lineRule="exact"/>
        <w:rPr>
          <w:rFonts w:ascii="Arial" w:hAnsi="Arial"/>
          <w:szCs w:val="24"/>
          <w:lang w:val="sv-SE"/>
        </w:rPr>
      </w:pPr>
      <w:r>
        <w:rPr>
          <w:rFonts w:ascii="Arial" w:hAnsi="Arial"/>
          <w:sz w:val="20"/>
          <w:szCs w:val="24"/>
          <w:lang w:val="sv-SE"/>
        </w:rPr>
        <w:lastRenderedPageBreak/>
        <w:t xml:space="preserve">I den nya analysen granskar </w:t>
      </w:r>
      <w:r>
        <w:rPr>
          <w:rFonts w:ascii="Arial" w:hAnsi="Arial"/>
          <w:b/>
          <w:sz w:val="20"/>
          <w:szCs w:val="24"/>
          <w:lang w:val="sv-SE"/>
        </w:rPr>
        <w:t>EU:s narkotika</w:t>
      </w:r>
      <w:r w:rsidR="00921650">
        <w:rPr>
          <w:rFonts w:ascii="Arial" w:hAnsi="Arial"/>
          <w:b/>
          <w:sz w:val="20"/>
          <w:szCs w:val="24"/>
          <w:lang w:val="sv-SE"/>
        </w:rPr>
        <w:t>byrå</w:t>
      </w:r>
      <w:r>
        <w:rPr>
          <w:rFonts w:ascii="Arial" w:hAnsi="Arial"/>
          <w:sz w:val="20"/>
          <w:szCs w:val="24"/>
          <w:lang w:val="sv-SE"/>
        </w:rPr>
        <w:t xml:space="preserve"> aktuella</w:t>
      </w:r>
      <w:r>
        <w:rPr>
          <w:rFonts w:ascii="Arial" w:hAnsi="Arial"/>
          <w:b/>
          <w:sz w:val="20"/>
          <w:szCs w:val="24"/>
          <w:lang w:val="sv-SE"/>
        </w:rPr>
        <w:t xml:space="preserve"> </w:t>
      </w:r>
      <w:r w:rsidR="005C0745">
        <w:rPr>
          <w:rFonts w:ascii="Arial" w:hAnsi="Arial"/>
          <w:sz w:val="20"/>
          <w:szCs w:val="24"/>
          <w:lang w:val="sv-SE"/>
        </w:rPr>
        <w:t xml:space="preserve">utmaningar </w:t>
      </w:r>
      <w:r>
        <w:rPr>
          <w:rFonts w:ascii="Arial" w:hAnsi="Arial"/>
          <w:sz w:val="20"/>
          <w:szCs w:val="24"/>
          <w:lang w:val="sv-SE"/>
        </w:rPr>
        <w:t>i samband med tillhandahållandet av hälso- och socialvård till metamfetaminmissbrukare. Det finns inte några godkända läkemedels</w:t>
      </w:r>
      <w:r w:rsidR="004B2B3C">
        <w:rPr>
          <w:rFonts w:ascii="Arial" w:hAnsi="Arial"/>
          <w:sz w:val="20"/>
          <w:szCs w:val="24"/>
          <w:lang w:val="sv-SE"/>
        </w:rPr>
        <w:t>-</w:t>
      </w:r>
      <w:r>
        <w:rPr>
          <w:rFonts w:ascii="Arial" w:hAnsi="Arial"/>
          <w:sz w:val="20"/>
          <w:szCs w:val="24"/>
          <w:lang w:val="sv-SE"/>
        </w:rPr>
        <w:t>behandlingar av metamfetaminberoende, men psykosociala insatser har dock visat sig vara effektiva. Narkotika</w:t>
      </w:r>
      <w:r w:rsidR="00921650">
        <w:rPr>
          <w:rFonts w:ascii="Arial" w:hAnsi="Arial"/>
          <w:sz w:val="20"/>
          <w:szCs w:val="24"/>
          <w:lang w:val="sv-SE"/>
        </w:rPr>
        <w:t>byrån</w:t>
      </w:r>
      <w:r>
        <w:rPr>
          <w:rFonts w:ascii="Arial" w:hAnsi="Arial"/>
          <w:sz w:val="20"/>
          <w:szCs w:val="24"/>
          <w:lang w:val="sv-SE"/>
        </w:rPr>
        <w:t xml:space="preserve"> konstaterar att</w:t>
      </w:r>
      <w:r>
        <w:rPr>
          <w:rFonts w:ascii="Arial" w:hAnsi="Arial"/>
          <w:b/>
          <w:sz w:val="20"/>
          <w:szCs w:val="24"/>
          <w:lang w:val="sv-SE"/>
        </w:rPr>
        <w:t xml:space="preserve"> </w:t>
      </w:r>
      <w:r>
        <w:rPr>
          <w:rFonts w:ascii="Arial" w:hAnsi="Arial"/>
          <w:sz w:val="20"/>
          <w:szCs w:val="24"/>
          <w:lang w:val="sv-SE"/>
        </w:rPr>
        <w:t xml:space="preserve">”metamfetaminproblemen i Europa i dag är mångskiftande, och lämpliga metoder måste anpassas, utvecklas och skräddarsys efter de lokala användningsmönstren och de observerade problemen”. </w:t>
      </w:r>
    </w:p>
    <w:p w:rsidR="00A55269" w:rsidRDefault="00A55269">
      <w:pPr>
        <w:spacing w:line="280" w:lineRule="auto"/>
        <w:rPr>
          <w:rFonts w:ascii="Arial" w:hAnsi="Arial"/>
          <w:b/>
          <w:sz w:val="20"/>
          <w:szCs w:val="24"/>
          <w:lang w:val="sv-SE"/>
        </w:rPr>
      </w:pPr>
      <w:r>
        <w:rPr>
          <w:rFonts w:ascii="Arial" w:hAnsi="Arial"/>
          <w:b/>
          <w:sz w:val="20"/>
          <w:szCs w:val="24"/>
          <w:lang w:val="sv-SE"/>
        </w:rPr>
        <w:t>Granskning av framstegen i läkemedelsbehandling av kokainberoende</w:t>
      </w:r>
    </w:p>
    <w:p w:rsidR="00A55269" w:rsidRDefault="00A55269" w:rsidP="00921650">
      <w:pPr>
        <w:spacing w:after="260" w:line="260" w:lineRule="exact"/>
        <w:rPr>
          <w:rFonts w:ascii="Arial" w:hAnsi="Arial"/>
          <w:szCs w:val="24"/>
          <w:lang w:val="sv-SE"/>
        </w:rPr>
      </w:pPr>
      <w:r>
        <w:rPr>
          <w:rFonts w:ascii="Arial" w:hAnsi="Arial"/>
          <w:sz w:val="20"/>
          <w:szCs w:val="24"/>
          <w:lang w:val="sv-SE"/>
        </w:rPr>
        <w:t xml:space="preserve">Kokain är fortfarande det olagliga stimulerande medel som oftast används i Europa, och problemen i behandlingen av kokainberoende kvarstår. År 2012 angav 14 % av de klienter som inledde specialiserad narkotikabehandling att kokain var deras primärdrog. </w:t>
      </w:r>
      <w:r>
        <w:rPr>
          <w:rFonts w:ascii="Arial" w:hAnsi="Arial"/>
          <w:b/>
          <w:sz w:val="20"/>
          <w:szCs w:val="24"/>
          <w:lang w:val="sv-SE"/>
        </w:rPr>
        <w:t>EU:s narkotika</w:t>
      </w:r>
      <w:r w:rsidR="00921650">
        <w:rPr>
          <w:rFonts w:ascii="Arial" w:hAnsi="Arial"/>
          <w:b/>
          <w:sz w:val="20"/>
          <w:szCs w:val="24"/>
          <w:lang w:val="sv-SE"/>
        </w:rPr>
        <w:t>byrå</w:t>
      </w:r>
      <w:r>
        <w:rPr>
          <w:rFonts w:ascii="Arial" w:hAnsi="Arial"/>
          <w:sz w:val="20"/>
          <w:szCs w:val="24"/>
          <w:lang w:val="sv-SE"/>
        </w:rPr>
        <w:t xml:space="preserve"> presenterar i dag en metaanalys av sex granskningar av effektiviteten </w:t>
      </w:r>
      <w:r w:rsidR="005C0745">
        <w:rPr>
          <w:rFonts w:ascii="Arial" w:hAnsi="Arial"/>
          <w:sz w:val="20"/>
          <w:szCs w:val="24"/>
          <w:lang w:val="sv-SE"/>
        </w:rPr>
        <w:t xml:space="preserve">av </w:t>
      </w:r>
      <w:r>
        <w:rPr>
          <w:rFonts w:ascii="Arial" w:hAnsi="Arial"/>
          <w:sz w:val="20"/>
          <w:szCs w:val="24"/>
          <w:lang w:val="sv-SE"/>
        </w:rPr>
        <w:t>de läkemedel som i dag används för att behandla kokainproblem samt hur behandlingarna accepteras bla</w:t>
      </w:r>
      <w:r w:rsidR="00921650">
        <w:rPr>
          <w:rFonts w:ascii="Arial" w:hAnsi="Arial"/>
          <w:sz w:val="20"/>
          <w:szCs w:val="24"/>
          <w:lang w:val="sv-SE"/>
        </w:rPr>
        <w:t xml:space="preserve">nd missbrukarna. </w:t>
      </w:r>
      <w:r>
        <w:rPr>
          <w:rFonts w:ascii="Arial" w:hAnsi="Arial"/>
          <w:sz w:val="20"/>
          <w:szCs w:val="24"/>
          <w:lang w:val="sv-SE"/>
        </w:rPr>
        <w:t>I de ursprungliga granskningarna, som utfördes av ”</w:t>
      </w:r>
      <w:r w:rsidRPr="004B2B3C">
        <w:rPr>
          <w:rFonts w:ascii="Arial" w:hAnsi="Arial"/>
          <w:i/>
          <w:sz w:val="20"/>
          <w:szCs w:val="24"/>
          <w:lang w:val="sv-SE"/>
        </w:rPr>
        <w:t>Cochrane Drugs and Alcohol</w:t>
      </w:r>
      <w:r w:rsidR="005B6F0E" w:rsidRPr="004B2B3C">
        <w:rPr>
          <w:rFonts w:ascii="Arial" w:hAnsi="Arial"/>
          <w:i/>
          <w:sz w:val="20"/>
          <w:szCs w:val="24"/>
          <w:lang w:val="sv-SE"/>
        </w:rPr>
        <w:t xml:space="preserve"> Group</w:t>
      </w:r>
      <w:r>
        <w:rPr>
          <w:rFonts w:ascii="Arial" w:hAnsi="Arial"/>
          <w:sz w:val="20"/>
          <w:szCs w:val="24"/>
          <w:lang w:val="sv-SE"/>
        </w:rPr>
        <w:t xml:space="preserve">”, ingick 92 studier (85 i USA) och över 7 000 deltagare. Granskningarna visar att vissa läkemedelsbehandlingar kan minska missbrukarnas narkotikabegär men att man inte hittat någon enskild farmakologisk lösning för kokainberoende. </w:t>
      </w:r>
      <w:r w:rsidR="004B2B3C">
        <w:rPr>
          <w:rFonts w:ascii="Arial" w:hAnsi="Arial"/>
          <w:sz w:val="20"/>
          <w:szCs w:val="24"/>
          <w:lang w:val="sv-SE"/>
        </w:rPr>
        <w:t xml:space="preserve">                </w:t>
      </w:r>
      <w:r>
        <w:rPr>
          <w:rFonts w:ascii="Arial" w:hAnsi="Arial"/>
          <w:sz w:val="20"/>
          <w:szCs w:val="24"/>
          <w:lang w:val="sv-SE"/>
        </w:rPr>
        <w:t xml:space="preserve">Medan forskningen på området utvecklas förblir psykosociala insatser ett centralt inslag i behandlingen av kokainmissbrukare (se video). </w:t>
      </w:r>
    </w:p>
    <w:p w:rsidR="00A55269" w:rsidRDefault="00A55269">
      <w:pPr>
        <w:autoSpaceDE w:val="0"/>
        <w:autoSpaceDN w:val="0"/>
        <w:adjustRightInd w:val="0"/>
        <w:spacing w:after="0" w:line="240" w:lineRule="auto"/>
        <w:rPr>
          <w:rFonts w:ascii="Arial" w:hAnsi="Arial"/>
          <w:szCs w:val="24"/>
          <w:lang w:val="sv-SE"/>
        </w:rPr>
      </w:pPr>
      <w:r>
        <w:rPr>
          <w:rFonts w:ascii="Arial" w:hAnsi="Arial"/>
          <w:b/>
          <w:sz w:val="20"/>
          <w:szCs w:val="24"/>
          <w:lang w:val="sv-SE"/>
        </w:rPr>
        <w:t xml:space="preserve">Inhemsk produktion är en viktig marijuanakälla, och importerad hasch blir allt starkare </w:t>
      </w:r>
    </w:p>
    <w:p w:rsidR="00A55269" w:rsidRDefault="00A55269">
      <w:pPr>
        <w:autoSpaceDE w:val="0"/>
        <w:autoSpaceDN w:val="0"/>
        <w:adjustRightInd w:val="0"/>
        <w:spacing w:after="0" w:line="240" w:lineRule="auto"/>
        <w:rPr>
          <w:rFonts w:ascii="Arial" w:hAnsi="Arial"/>
          <w:b/>
          <w:sz w:val="20"/>
          <w:szCs w:val="24"/>
          <w:highlight w:val="yellow"/>
          <w:lang w:val="sv-SE"/>
        </w:rPr>
      </w:pPr>
    </w:p>
    <w:p w:rsidR="00A55269" w:rsidRDefault="00A55269" w:rsidP="00921650">
      <w:pPr>
        <w:autoSpaceDE w:val="0"/>
        <w:autoSpaceDN w:val="0"/>
        <w:adjustRightInd w:val="0"/>
        <w:spacing w:after="260" w:line="260" w:lineRule="exact"/>
        <w:rPr>
          <w:rFonts w:ascii="Arial" w:hAnsi="Arial"/>
          <w:szCs w:val="24"/>
          <w:lang w:val="sv-SE"/>
        </w:rPr>
      </w:pPr>
      <w:r>
        <w:rPr>
          <w:rFonts w:ascii="Arial" w:hAnsi="Arial"/>
          <w:sz w:val="20"/>
          <w:szCs w:val="24"/>
          <w:lang w:val="sv-SE"/>
        </w:rPr>
        <w:t xml:space="preserve">Europa har länge varit en av världens största konsumtionsmarknader för cannabis, i synnerhet av harts som främst importeras från </w:t>
      </w:r>
      <w:r w:rsidRPr="00583A56">
        <w:rPr>
          <w:rFonts w:ascii="Arial" w:hAnsi="Arial"/>
          <w:b/>
          <w:sz w:val="20"/>
          <w:szCs w:val="24"/>
          <w:lang w:val="sv-SE"/>
        </w:rPr>
        <w:t>Marocko</w:t>
      </w:r>
      <w:r>
        <w:rPr>
          <w:rFonts w:ascii="Arial" w:hAnsi="Arial"/>
          <w:sz w:val="20"/>
          <w:szCs w:val="24"/>
          <w:lang w:val="sv-SE"/>
        </w:rPr>
        <w:t xml:space="preserve">. Det uppskattas att ungefär 2 050 ton cannabisharts (hasch) och marijuana konsumeras i Europa varje år. I dag rapporterar </w:t>
      </w:r>
      <w:r>
        <w:rPr>
          <w:rFonts w:ascii="Arial" w:hAnsi="Arial"/>
          <w:b/>
          <w:sz w:val="20"/>
          <w:szCs w:val="24"/>
          <w:lang w:val="sv-SE"/>
        </w:rPr>
        <w:t>EU:s narkotika</w:t>
      </w:r>
      <w:r w:rsidR="00921650">
        <w:rPr>
          <w:rFonts w:ascii="Arial" w:hAnsi="Arial"/>
          <w:b/>
          <w:sz w:val="20"/>
          <w:szCs w:val="24"/>
          <w:lang w:val="sv-SE"/>
        </w:rPr>
        <w:t>byrå</w:t>
      </w:r>
      <w:r>
        <w:rPr>
          <w:rFonts w:ascii="Arial" w:hAnsi="Arial"/>
          <w:sz w:val="20"/>
          <w:szCs w:val="24"/>
          <w:lang w:val="sv-SE"/>
        </w:rPr>
        <w:t xml:space="preserve"> att Europas konsumtionsmarknad för cannabis nu domineras av marijuana och att den inhemska förbrukningen försörjs genom inhemsk marijuanaproduktion. Marijuanaodlingar blir allt vanligare i hela Europa.</w:t>
      </w:r>
    </w:p>
    <w:p w:rsidR="00A55269" w:rsidRDefault="00A55269">
      <w:pPr>
        <w:autoSpaceDE w:val="0"/>
        <w:autoSpaceDN w:val="0"/>
        <w:adjustRightInd w:val="0"/>
        <w:spacing w:after="260" w:line="260" w:lineRule="exact"/>
        <w:rPr>
          <w:rFonts w:ascii="Arial" w:hAnsi="Arial"/>
          <w:color w:val="BFBFBF"/>
          <w:szCs w:val="24"/>
          <w:lang w:val="sv-SE"/>
        </w:rPr>
      </w:pPr>
      <w:r>
        <w:rPr>
          <w:rFonts w:ascii="Arial" w:hAnsi="Arial"/>
          <w:sz w:val="20"/>
          <w:szCs w:val="24"/>
          <w:lang w:val="sv-SE"/>
        </w:rPr>
        <w:t xml:space="preserve">Under det senaste decenniet har antalet marijuanabeslag i Europa gått om haschbeslagen. Drygt 457 000 marijuanabeslag rapporterades 2012 och 258 000 haschbeslag. Omkring sju miljoner cannabisplantor togs i beslag 2012, vilket </w:t>
      </w:r>
      <w:r w:rsidR="00583A56">
        <w:rPr>
          <w:rFonts w:ascii="Arial" w:hAnsi="Arial"/>
          <w:sz w:val="20"/>
          <w:szCs w:val="24"/>
          <w:lang w:val="sv-SE"/>
        </w:rPr>
        <w:t>är mer än 2,5 gånger den kvantitet som rapporterades fem år tidigare. Innovationer inom cannabisproduktion</w:t>
      </w:r>
      <w:r>
        <w:rPr>
          <w:rFonts w:ascii="Arial" w:hAnsi="Arial"/>
          <w:sz w:val="20"/>
          <w:szCs w:val="24"/>
          <w:lang w:val="sv-SE"/>
        </w:rPr>
        <w:t xml:space="preserve"> på senare år är oroväckande (se video). Odlarna odlar cannabisplantor som har hög halt av THC (den aktiva substansen i cannabis) men låg halt av CBD (ett antipsykotikum). Båda cannabisformerna har blivit mer </w:t>
      </w:r>
      <w:r w:rsidR="00AF48CC">
        <w:rPr>
          <w:rFonts w:ascii="Arial" w:hAnsi="Arial"/>
          <w:sz w:val="20"/>
          <w:szCs w:val="24"/>
          <w:lang w:val="sv-SE"/>
        </w:rPr>
        <w:t xml:space="preserve">potenta </w:t>
      </w:r>
      <w:r>
        <w:rPr>
          <w:rFonts w:ascii="Arial" w:hAnsi="Arial"/>
          <w:sz w:val="20"/>
          <w:szCs w:val="24"/>
          <w:lang w:val="sv-SE"/>
        </w:rPr>
        <w:t>sedan 2006. En relativt kraftig ökning av cannabishartsens styrka skedde mellan 2011 och 2012 (se infografik om ca</w:t>
      </w:r>
      <w:r w:rsidR="002645A8">
        <w:rPr>
          <w:rFonts w:ascii="Arial" w:hAnsi="Arial"/>
          <w:sz w:val="20"/>
          <w:szCs w:val="24"/>
          <w:lang w:val="sv-SE"/>
        </w:rPr>
        <w:t>nnabis i kapitel 1 i Europeisk</w:t>
      </w:r>
      <w:r w:rsidR="00CF00C2">
        <w:rPr>
          <w:rFonts w:ascii="Arial" w:hAnsi="Arial"/>
          <w:sz w:val="20"/>
          <w:szCs w:val="24"/>
          <w:lang w:val="sv-SE"/>
        </w:rPr>
        <w:t> </w:t>
      </w:r>
      <w:r w:rsidR="002645A8">
        <w:rPr>
          <w:rFonts w:ascii="Arial" w:hAnsi="Arial"/>
          <w:sz w:val="20"/>
          <w:szCs w:val="24"/>
          <w:lang w:val="sv-SE"/>
        </w:rPr>
        <w:t>narkotikarapport</w:t>
      </w:r>
      <w:r>
        <w:rPr>
          <w:rFonts w:ascii="Arial" w:hAnsi="Arial"/>
          <w:sz w:val="20"/>
          <w:szCs w:val="24"/>
          <w:lang w:val="sv-SE"/>
        </w:rPr>
        <w:t>).</w:t>
      </w:r>
      <w:r>
        <w:rPr>
          <w:rFonts w:ascii="Arial" w:hAnsi="Arial"/>
          <w:sz w:val="20"/>
          <w:szCs w:val="24"/>
          <w:u w:val="single"/>
          <w:lang w:val="sv-SE"/>
        </w:rPr>
        <w:t xml:space="preserve"> </w:t>
      </w:r>
    </w:p>
    <w:p w:rsidR="00A55269" w:rsidRDefault="00A55269">
      <w:pPr>
        <w:spacing w:after="0" w:line="240" w:lineRule="auto"/>
        <w:rPr>
          <w:rFonts w:ascii="Arial" w:hAnsi="Arial"/>
          <w:szCs w:val="24"/>
          <w:lang w:val="sv-SE"/>
        </w:rPr>
      </w:pPr>
      <w:r>
        <w:rPr>
          <w:rFonts w:ascii="Arial" w:hAnsi="Arial"/>
          <w:b/>
          <w:sz w:val="20"/>
          <w:szCs w:val="24"/>
          <w:lang w:val="sv-SE"/>
        </w:rPr>
        <w:t>Internetbaserad narkotikabehandling erbjuder nya sätt att hålla kontakt med missbrukare</w:t>
      </w:r>
      <w:r>
        <w:rPr>
          <w:rFonts w:ascii="Arial" w:hAnsi="Arial"/>
          <w:sz w:val="20"/>
          <w:szCs w:val="24"/>
          <w:lang w:val="sv-SE"/>
        </w:rPr>
        <w:t xml:space="preserve"> </w:t>
      </w:r>
    </w:p>
    <w:p w:rsidR="00A55269" w:rsidRDefault="00A55269">
      <w:pPr>
        <w:spacing w:after="0" w:line="240" w:lineRule="auto"/>
        <w:rPr>
          <w:rFonts w:ascii="Arial" w:hAnsi="Arial"/>
          <w:sz w:val="20"/>
          <w:szCs w:val="24"/>
          <w:lang w:val="sv-SE"/>
        </w:rPr>
      </w:pPr>
    </w:p>
    <w:p w:rsidR="00A55269" w:rsidRDefault="00A55269" w:rsidP="004B2B3C">
      <w:pPr>
        <w:rPr>
          <w:rFonts w:ascii="Arial" w:hAnsi="Arial"/>
          <w:szCs w:val="24"/>
          <w:lang w:val="sv-SE"/>
        </w:rPr>
      </w:pPr>
      <w:r>
        <w:rPr>
          <w:rFonts w:ascii="Arial" w:hAnsi="Arial"/>
          <w:sz w:val="20"/>
          <w:szCs w:val="24"/>
          <w:lang w:val="sv-SE"/>
        </w:rPr>
        <w:t xml:space="preserve">Internet är nu etablerat som en möjlig kanal för narkotika- och alkoholupplysning, missbruksförebyggande insatser och behandlingsprogram i en rad olika </w:t>
      </w:r>
      <w:r w:rsidRPr="003E33AE">
        <w:rPr>
          <w:rFonts w:ascii="Arial" w:hAnsi="Arial"/>
          <w:sz w:val="20"/>
          <w:szCs w:val="24"/>
          <w:lang w:val="sv-SE"/>
        </w:rPr>
        <w:t xml:space="preserve">situationer. I dag kartlägger </w:t>
      </w:r>
      <w:r w:rsidRPr="003E33AE">
        <w:rPr>
          <w:rFonts w:ascii="Arial" w:hAnsi="Arial"/>
          <w:b/>
          <w:sz w:val="20"/>
          <w:szCs w:val="24"/>
          <w:lang w:val="sv-SE"/>
        </w:rPr>
        <w:t>EU:s narkotika</w:t>
      </w:r>
      <w:r w:rsidR="00BC0C6F" w:rsidRPr="003E33AE">
        <w:rPr>
          <w:rFonts w:ascii="Arial" w:hAnsi="Arial"/>
          <w:b/>
          <w:sz w:val="20"/>
          <w:szCs w:val="24"/>
          <w:lang w:val="sv-SE"/>
        </w:rPr>
        <w:t>byrå</w:t>
      </w:r>
      <w:r w:rsidRPr="003E33AE">
        <w:rPr>
          <w:rFonts w:ascii="Arial" w:hAnsi="Arial"/>
          <w:b/>
          <w:sz w:val="20"/>
          <w:szCs w:val="24"/>
          <w:lang w:val="sv-SE"/>
        </w:rPr>
        <w:t xml:space="preserve"> </w:t>
      </w:r>
      <w:r w:rsidRPr="003E33AE">
        <w:rPr>
          <w:rFonts w:ascii="Arial" w:hAnsi="Arial"/>
          <w:sz w:val="20"/>
          <w:szCs w:val="24"/>
          <w:lang w:val="sv-SE"/>
        </w:rPr>
        <w:t>utvecklingen inom internetbaserad narkotikabehandling (</w:t>
      </w:r>
      <w:r w:rsidR="004B2B3C" w:rsidRPr="003E33AE">
        <w:rPr>
          <w:rFonts w:ascii="Arial" w:hAnsi="Arial" w:cs="Arial"/>
          <w:i/>
          <w:sz w:val="20"/>
          <w:szCs w:val="20"/>
          <w:lang w:val="sv-SE"/>
        </w:rPr>
        <w:t>Internet-based drug treatment</w:t>
      </w:r>
      <w:r w:rsidR="004B2B3C" w:rsidRPr="003E33AE">
        <w:rPr>
          <w:rFonts w:ascii="Arial" w:hAnsi="Arial" w:cs="Arial"/>
          <w:sz w:val="20"/>
          <w:szCs w:val="20"/>
          <w:lang w:val="sv-SE"/>
        </w:rPr>
        <w:t xml:space="preserve"> </w:t>
      </w:r>
      <w:proofErr w:type="gramStart"/>
      <w:r w:rsidR="004B2B3C" w:rsidRPr="003E33AE">
        <w:rPr>
          <w:rFonts w:ascii="Arial" w:hAnsi="Arial" w:cs="Arial"/>
          <w:sz w:val="20"/>
          <w:szCs w:val="20"/>
          <w:lang w:val="sv-SE"/>
        </w:rPr>
        <w:t>—</w:t>
      </w:r>
      <w:proofErr w:type="gramEnd"/>
      <w:r w:rsidR="004B2B3C" w:rsidRPr="003E33AE">
        <w:rPr>
          <w:rFonts w:ascii="Arial" w:hAnsi="Arial" w:cs="Arial"/>
          <w:sz w:val="20"/>
          <w:szCs w:val="20"/>
          <w:lang w:val="sv-SE"/>
        </w:rPr>
        <w:t xml:space="preserve"> IBDT)</w:t>
      </w:r>
      <w:r w:rsidRPr="003E33AE">
        <w:rPr>
          <w:rFonts w:ascii="Arial" w:hAnsi="Arial"/>
          <w:sz w:val="20"/>
          <w:szCs w:val="24"/>
          <w:lang w:val="sv-SE"/>
        </w:rPr>
        <w:t>, som</w:t>
      </w:r>
      <w:r>
        <w:rPr>
          <w:rFonts w:ascii="Arial" w:hAnsi="Arial"/>
          <w:sz w:val="20"/>
          <w:szCs w:val="24"/>
          <w:lang w:val="sv-SE"/>
        </w:rPr>
        <w:t xml:space="preserve"> har ökat i omfattning i Europa under de senaste tio åren framför allt för cannabismissbruk. Inom IBDT används en rad beprövade psykosociala tekniker som integreras i en ny webbaserad form. Uppgiftsskydd och anonymitet är visserligen viktiga frågor som måste uppmärksammas, men IBDT kan ge fördelar som bland annat större geografisk räckvidd, kontakt med missbrukare som inte nås av specialiserade hälsovårdstjänster och mer omedelbar hjälp (utan väntetider). När IBDT-programmen utvecklas kan de bli ett användbart komplement till traditionella behandlingstjänster och erbjuda nya sätt att hålla kontakt med missbrukare som behöver hjälp (se </w:t>
      </w:r>
      <w:bookmarkStart w:id="0" w:name="_GoBack"/>
      <w:bookmarkEnd w:id="0"/>
      <w:r>
        <w:rPr>
          <w:rFonts w:ascii="Arial" w:hAnsi="Arial"/>
          <w:sz w:val="20"/>
          <w:szCs w:val="24"/>
          <w:lang w:val="sv-SE"/>
        </w:rPr>
        <w:t xml:space="preserve">video). </w:t>
      </w:r>
    </w:p>
    <w:p w:rsidR="00A55269" w:rsidRDefault="00A55269" w:rsidP="00D375AF">
      <w:pPr>
        <w:keepNext/>
        <w:spacing w:after="260" w:line="260" w:lineRule="exact"/>
        <w:rPr>
          <w:rFonts w:ascii="Arial" w:hAnsi="Arial"/>
          <w:szCs w:val="24"/>
          <w:lang w:val="sv-SE"/>
        </w:rPr>
      </w:pPr>
      <w:r w:rsidRPr="001B1DA1">
        <w:rPr>
          <w:rFonts w:ascii="Arial" w:hAnsi="Arial"/>
          <w:b/>
          <w:sz w:val="20"/>
          <w:szCs w:val="24"/>
          <w:lang w:val="sv-SE"/>
        </w:rPr>
        <w:t>Största studien av narkotikarester</w:t>
      </w:r>
      <w:r w:rsidRPr="00E817C9">
        <w:rPr>
          <w:rFonts w:ascii="Arial" w:hAnsi="Arial"/>
          <w:b/>
          <w:sz w:val="20"/>
          <w:szCs w:val="24"/>
          <w:lang w:val="sv-SE"/>
        </w:rPr>
        <w:t xml:space="preserve"> i avloppsvatten i ett flertal städer presenteras i dag</w:t>
      </w:r>
      <w:r>
        <w:rPr>
          <w:rFonts w:ascii="Arial" w:hAnsi="Arial"/>
          <w:b/>
          <w:sz w:val="20"/>
          <w:szCs w:val="24"/>
          <w:lang w:val="sv-SE"/>
        </w:rPr>
        <w:t xml:space="preserve"> </w:t>
      </w:r>
    </w:p>
    <w:p w:rsidR="00A55269" w:rsidRPr="00D375AF" w:rsidRDefault="00A55269" w:rsidP="00D375AF">
      <w:pPr>
        <w:pStyle w:val="CommentText"/>
        <w:keepNext/>
        <w:spacing w:after="260" w:line="260" w:lineRule="exact"/>
        <w:rPr>
          <w:rFonts w:ascii="Arial" w:hAnsi="Arial"/>
          <w:szCs w:val="24"/>
          <w:lang w:val="sv-SE"/>
        </w:rPr>
      </w:pPr>
      <w:r>
        <w:rPr>
          <w:rFonts w:ascii="Arial" w:hAnsi="Arial"/>
          <w:szCs w:val="24"/>
          <w:lang w:val="sv-SE"/>
        </w:rPr>
        <w:t>Resultaten från det största europeiska projektet hittills inom den nya forskningsdisciplinen avloppsvattenanalys presenteras också i dag. I projektet analyserades av</w:t>
      </w:r>
      <w:r w:rsidR="00583A56">
        <w:rPr>
          <w:rFonts w:ascii="Arial" w:hAnsi="Arial"/>
          <w:szCs w:val="24"/>
          <w:lang w:val="sv-SE"/>
        </w:rPr>
        <w:t>loppsvatten i över 40 städer (i </w:t>
      </w:r>
      <w:r>
        <w:rPr>
          <w:rFonts w:ascii="Arial" w:hAnsi="Arial"/>
          <w:szCs w:val="24"/>
          <w:lang w:val="sv-SE"/>
        </w:rPr>
        <w:t>21 länder) för att kartlägga utbredningen av narkotikamissbruk hos stadsbefolkningarna. EU:s narkotika</w:t>
      </w:r>
      <w:r w:rsidR="00BC0C6F">
        <w:rPr>
          <w:rFonts w:ascii="Arial" w:hAnsi="Arial"/>
          <w:szCs w:val="24"/>
          <w:lang w:val="sv-SE"/>
        </w:rPr>
        <w:t>byrå</w:t>
      </w:r>
      <w:r>
        <w:rPr>
          <w:rFonts w:ascii="Arial" w:hAnsi="Arial"/>
          <w:szCs w:val="24"/>
          <w:lang w:val="sv-SE"/>
        </w:rPr>
        <w:t xml:space="preserve"> presenterar slutsatserna från studien i en POD-analys om ämnet. Avloppsvatten från </w:t>
      </w:r>
      <w:r>
        <w:rPr>
          <w:rFonts w:ascii="Arial" w:hAnsi="Arial"/>
          <w:szCs w:val="24"/>
          <w:lang w:val="sv-SE"/>
        </w:rPr>
        <w:lastRenderedPageBreak/>
        <w:t>ungefär 8 miljoner människor analyserades för att upptäcka spår av fem olagliga narkotikapreparat: amfetamin, cannabis, kokain, ecstasy och metamfetamin (pressmeddelande 5/2014).</w:t>
      </w:r>
    </w:p>
    <w:p w:rsidR="00A55269" w:rsidRDefault="00A55269" w:rsidP="00CF00C2">
      <w:pPr>
        <w:pStyle w:val="newsContent"/>
        <w:rPr>
          <w:lang w:val="sv-SE"/>
        </w:rPr>
      </w:pPr>
      <w:r>
        <w:rPr>
          <w:lang w:val="sv-SE"/>
        </w:rPr>
        <w:t xml:space="preserve">Resultaten ger en värdefull lägesbild av narkotikaflödet genom de undersökta städerna, som visar påtagliga regionala variationer i missbruksmönstren. Förekomsten av kokainrester var högre i städer västerut och i vissa städer i söder än i städerna i norr och öster. Amfetamin var relativt jämnt fördelad, med de högsta halterna i norra och nordvästra Europa. Användningen av metamfetamin, som generellt ligger på en låg nivå och traditionellt varit koncentrerad till Centraleuropa, verkar nu breda ut sig. </w:t>
      </w:r>
      <w:r w:rsidR="004B2B3C">
        <w:rPr>
          <w:lang w:val="sv-SE"/>
        </w:rPr>
        <w:t xml:space="preserve">                  </w:t>
      </w:r>
      <w:r>
        <w:rPr>
          <w:lang w:val="sv-SE"/>
        </w:rPr>
        <w:t>När narkotikamissbrukets veckomönster undersöktes såg man att kokain- och ecstasynivåerna ökade starkt under veckosluten i de flesta städer, medan metamfetamin- och cannabisanvändningen tycktes vara mer jämnt fördelad över hela veckan.</w:t>
      </w:r>
    </w:p>
    <w:p w:rsidR="00A55269" w:rsidRDefault="00A55269" w:rsidP="00CF00C2">
      <w:pPr>
        <w:pStyle w:val="newsContent"/>
        <w:rPr>
          <w:lang w:val="sv-SE" w:eastAsia="en-GB"/>
        </w:rPr>
      </w:pPr>
      <w:r>
        <w:rPr>
          <w:b/>
          <w:lang w:val="sv-SE"/>
        </w:rPr>
        <w:t>Narkotika</w:t>
      </w:r>
      <w:r w:rsidR="00BC0C6F">
        <w:rPr>
          <w:b/>
          <w:lang w:val="sv-SE"/>
        </w:rPr>
        <w:t>byrån</w:t>
      </w:r>
      <w:r>
        <w:rPr>
          <w:b/>
          <w:lang w:val="sv-SE"/>
        </w:rPr>
        <w:t>s styrelseordförande João Goulão</w:t>
      </w:r>
      <w:r>
        <w:rPr>
          <w:lang w:val="sv-SE"/>
        </w:rPr>
        <w:t xml:space="preserve"> säger: ”I</w:t>
      </w:r>
      <w:r w:rsidR="00BC0C6F">
        <w:rPr>
          <w:lang w:val="sv-SE"/>
        </w:rPr>
        <w:t xml:space="preserve"> år lyfter EU:s narkotikabyrå</w:t>
      </w:r>
      <w:r>
        <w:rPr>
          <w:lang w:val="sv-SE"/>
        </w:rPr>
        <w:t xml:space="preserve"> fram en rad nya utmaningar som stimulerande medel och andra narkotikapreparat medför. Narkotika</w:t>
      </w:r>
      <w:r w:rsidR="00FD5AA2">
        <w:rPr>
          <w:lang w:val="sv-SE"/>
        </w:rPr>
        <w:t>byrån</w:t>
      </w:r>
      <w:r>
        <w:rPr>
          <w:lang w:val="sv-SE"/>
        </w:rPr>
        <w:t xml:space="preserve"> granskar </w:t>
      </w:r>
      <w:r w:rsidR="001B1DA1">
        <w:rPr>
          <w:lang w:val="sv-SE"/>
        </w:rPr>
        <w:t>särskilt</w:t>
      </w:r>
      <w:r>
        <w:rPr>
          <w:lang w:val="sv-SE"/>
        </w:rPr>
        <w:t xml:space="preserve"> den nya och växande faktabasen om behandling av kokain</w:t>
      </w:r>
      <w:r>
        <w:rPr>
          <w:lang w:val="sv-SE"/>
        </w:rPr>
        <w:noBreakHyphen/>
        <w:t>, metamfetamin- och cannabismissbruk. En gemensam faktor är betydelsen av psykosociala insatser, som utgör en värdefull del i vår terapiarsenal för att försöka lösa dagens narkotikaproblem.”</w:t>
      </w:r>
    </w:p>
    <w:p w:rsidR="00A55269" w:rsidRDefault="00A55269" w:rsidP="00CF00C2">
      <w:pPr>
        <w:pStyle w:val="newsContent"/>
        <w:rPr>
          <w:lang w:val="sv-SE" w:eastAsia="en-GB"/>
        </w:rPr>
      </w:pPr>
    </w:p>
    <w:sectPr w:rsidR="00A55269" w:rsidSect="00A55269">
      <w:headerReference w:type="default" r:id="rId10"/>
      <w:footerReference w:type="default" r:id="rId11"/>
      <w:footerReference w:type="first" r:id="rId12"/>
      <w:type w:val="continuous"/>
      <w:pgSz w:w="11906" w:h="16838" w:code="9"/>
      <w:pgMar w:top="1276" w:right="1276" w:bottom="993" w:left="1276" w:header="73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4A7" w:rsidRDefault="000364A7">
      <w:pPr>
        <w:spacing w:after="0" w:line="240" w:lineRule="auto"/>
        <w:rPr>
          <w:szCs w:val="24"/>
        </w:rPr>
      </w:pPr>
      <w:r>
        <w:rPr>
          <w:szCs w:val="24"/>
        </w:rPr>
        <w:separator/>
      </w:r>
    </w:p>
  </w:endnote>
  <w:endnote w:type="continuationSeparator" w:id="0">
    <w:p w:rsidR="000364A7" w:rsidRDefault="000364A7">
      <w:pPr>
        <w:spacing w:after="0" w:line="240" w:lineRule="auto"/>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8320" w:type="dxa"/>
      <w:tblInd w:w="-510" w:type="dxa"/>
      <w:tblLayout w:type="fixed"/>
      <w:tblCellMar>
        <w:left w:w="57" w:type="dxa"/>
        <w:right w:w="57" w:type="dxa"/>
      </w:tblCellMar>
      <w:tblLook w:val="00A0" w:firstRow="1" w:lastRow="0" w:firstColumn="1" w:lastColumn="0" w:noHBand="0" w:noVBand="0"/>
    </w:tblPr>
    <w:tblGrid>
      <w:gridCol w:w="8505"/>
      <w:gridCol w:w="8505"/>
      <w:gridCol w:w="1310"/>
    </w:tblGrid>
    <w:tr w:rsidR="0078744E" w:rsidRPr="003E33AE" w:rsidTr="0078744E">
      <w:tc>
        <w:tcPr>
          <w:tcW w:w="8505" w:type="dxa"/>
        </w:tcPr>
        <w:p w:rsidR="0078744E" w:rsidRPr="006A1BEE" w:rsidRDefault="003E33AE" w:rsidP="0078744E">
          <w:pPr>
            <w:pStyle w:val="newsEmbargo"/>
            <w:rPr>
              <w:lang w:val="sv-SE"/>
            </w:rPr>
          </w:pPr>
          <w:r>
            <w:rPr>
              <w:noProof/>
            </w:rPr>
            <w:pict>
              <v:line id="Straight Connector 14" o:spid="_x0000_s2056" style="position:absolute;left:0;text-align:left;flip:x;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50.25pt,817.45pt" to="50.25pt,8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" strokecolor="#009" strokeweight="1.5pt">
                <w10:wrap anchorx="page" anchory="page"/>
              </v:line>
            </w:pict>
          </w:r>
          <w:r w:rsidR="0078744E" w:rsidRPr="00135DE0">
            <w:rPr>
              <w:rFonts w:eastAsia="Calibri" w:cs="Arial"/>
              <w:noProof/>
              <w:lang w:val="sv-SE" w:eastAsia="en-GB"/>
            </w:rPr>
            <w:t xml:space="preserve">Perspectives on drugs (POD) </w:t>
          </w:r>
          <w:r w:rsidR="0078744E" w:rsidRPr="00135DE0">
            <w:rPr>
              <w:rFonts w:eastAsia="Calibri" w:cs="Arial"/>
              <w:noProof/>
              <w:lang w:eastAsia="en-GB"/>
            </w:rPr>
            <w:sym w:font="Symbol" w:char="F02D"/>
          </w:r>
          <w:r w:rsidR="0078744E" w:rsidRPr="00135DE0">
            <w:rPr>
              <w:rFonts w:eastAsia="Calibri" w:cs="Arial"/>
              <w:noProof/>
              <w:lang w:val="sv-SE" w:eastAsia="en-GB"/>
            </w:rPr>
            <w:t xml:space="preserve"> tillgängliga på engelska på www.emcdda.europa.eu/edr2014</w:t>
          </w:r>
        </w:p>
      </w:tc>
      <w:tc>
        <w:tcPr>
          <w:tcW w:w="8505" w:type="dxa"/>
        </w:tcPr>
        <w:p w:rsidR="0078744E" w:rsidRPr="0078744E" w:rsidRDefault="0078744E" w:rsidP="0078744E">
          <w:pPr>
            <w:pStyle w:val="newsCoordinates"/>
            <w:ind w:left="0"/>
            <w:rPr>
              <w:noProof/>
              <w:color w:val="000000"/>
              <w:sz w:val="15"/>
              <w:szCs w:val="24"/>
              <w:lang w:val="sv-SE"/>
            </w:rPr>
          </w:pPr>
        </w:p>
      </w:tc>
      <w:tc>
        <w:tcPr>
          <w:tcW w:w="1310" w:type="dxa"/>
          <w:vAlign w:val="bottom"/>
        </w:tcPr>
        <w:p w:rsidR="0078744E" w:rsidRDefault="0078744E">
          <w:pPr>
            <w:pStyle w:val="newsReference"/>
            <w:rPr>
              <w:szCs w:val="24"/>
              <w:lang w:val="sv-SE"/>
            </w:rPr>
          </w:pPr>
        </w:p>
      </w:tc>
    </w:tr>
  </w:tbl>
  <w:p w:rsidR="00A55269" w:rsidRPr="0078744E" w:rsidRDefault="003E33AE">
    <w:pPr>
      <w:pStyle w:val="Footer"/>
      <w:rPr>
        <w:szCs w:val="24"/>
        <w:lang w:val="sv-SE"/>
      </w:rPr>
    </w:pPr>
    <w:r>
      <w:rPr>
        <w:noProof/>
      </w:rPr>
      <w:pict>
        <v:line id="_x0000_s2057" style="position:absolute;flip:x;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8.25pt,805.45pt" to="38.25pt,8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" strokecolor="#009" strokeweight="1.5pt">
          <w10:wrap anchorx="page" anchory="page"/>
        </v:lin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510" w:type="dxa"/>
      <w:tblLayout w:type="fixed"/>
      <w:tblCellMar>
        <w:left w:w="57" w:type="dxa"/>
        <w:right w:w="57" w:type="dxa"/>
      </w:tblCellMar>
      <w:tblLook w:val="00A0" w:firstRow="1" w:lastRow="0" w:firstColumn="1" w:lastColumn="0" w:noHBand="0" w:noVBand="0"/>
    </w:tblPr>
    <w:tblGrid>
      <w:gridCol w:w="7196"/>
      <w:gridCol w:w="3294"/>
    </w:tblGrid>
    <w:tr w:rsidR="00A55269">
      <w:tc>
        <w:tcPr>
          <w:tcW w:w="7196" w:type="dxa"/>
        </w:tcPr>
        <w:tbl>
          <w:tblPr>
            <w:tblpPr w:leftFromText="141" w:rightFromText="141" w:vertAnchor="page" w:horzAnchor="margin" w:tblpY="91"/>
            <w:tblOverlap w:val="never"/>
            <w:tblW w:w="10490" w:type="dxa"/>
            <w:tblLayout w:type="fixed"/>
            <w:tblCellMar>
              <w:left w:w="57" w:type="dxa"/>
              <w:right w:w="57" w:type="dxa"/>
            </w:tblCellMar>
            <w:tblLook w:val="04A0" w:firstRow="1" w:lastRow="0" w:firstColumn="1" w:lastColumn="0" w:noHBand="0" w:noVBand="1"/>
          </w:tblPr>
          <w:tblGrid>
            <w:gridCol w:w="7196"/>
            <w:gridCol w:w="3294"/>
          </w:tblGrid>
          <w:tr w:rsidR="00CA5FA2" w:rsidTr="00135DE0">
            <w:tc>
              <w:tcPr>
                <w:tcW w:w="7196" w:type="dxa"/>
                <w:shd w:val="clear" w:color="auto" w:fill="auto"/>
              </w:tcPr>
              <w:p w:rsidR="00CA5FA2" w:rsidRPr="00135DE0" w:rsidRDefault="00CA5FA2" w:rsidP="00CA5FA2">
                <w:pPr>
                  <w:pStyle w:val="newsCoordinates"/>
                  <w:rPr>
                    <w:szCs w:val="20"/>
                    <w:lang w:val="sv-SE"/>
                  </w:rPr>
                </w:pPr>
                <w:r w:rsidRPr="00135DE0">
                  <w:rPr>
                    <w:szCs w:val="20"/>
                    <w:lang w:val="sv-SE"/>
                  </w:rPr>
                  <w:t>Kontaktperson: Kathy Robertson, Mediekontakter</w:t>
                </w:r>
                <w:r w:rsidR="003E33AE">
                  <w:rPr>
                    <w:noProof/>
                    <w:szCs w:val="20"/>
                  </w:rPr>
                  <w:pict>
                    <v:line id="Straight Connector 4" o:spid="_x0000_s2053" style="position:absolute;left:0;text-align:left;z-index:-251659264;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55pt,-1.15pt" to="2.5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" strokecolor="#009" strokeweight="1.5pt">
                      <w10:wrap anchorx="page" anchory="page"/>
                    </v:line>
                  </w:pict>
                </w:r>
                <w:r w:rsidRPr="00135DE0">
                  <w:rPr>
                    <w:szCs w:val="20"/>
                    <w:lang w:val="sv-SE"/>
                  </w:rPr>
                  <w:t xml:space="preserve"> </w:t>
                </w:r>
              </w:p>
              <w:p w:rsidR="00CA5FA2" w:rsidRPr="005B6F0E" w:rsidRDefault="00CA5FA2" w:rsidP="00CA5FA2">
                <w:pPr>
                  <w:pStyle w:val="newsCoordinates"/>
                  <w:rPr>
                    <w:szCs w:val="20"/>
                    <w:lang w:val="pt-PT"/>
                  </w:rPr>
                </w:pPr>
                <w:r w:rsidRPr="005B6F0E">
                  <w:rPr>
                    <w:szCs w:val="20"/>
                    <w:lang w:val="pt-PT"/>
                  </w:rPr>
                  <w:t>Praça Europa 1, Cais do Sodré, 1249-289 Lissabon, Portugal</w:t>
                </w:r>
              </w:p>
              <w:p w:rsidR="00CA5FA2" w:rsidRPr="00135DE0" w:rsidRDefault="00CA5FA2" w:rsidP="00CA5FA2">
                <w:pPr>
                  <w:pStyle w:val="newsCoordinates"/>
                  <w:rPr>
                    <w:szCs w:val="20"/>
                    <w:lang w:val="pt-PT"/>
                  </w:rPr>
                </w:pPr>
                <w:proofErr w:type="gramStart"/>
                <w:r w:rsidRPr="00135DE0">
                  <w:rPr>
                    <w:szCs w:val="20"/>
                    <w:lang w:val="sv-SE"/>
                  </w:rPr>
                  <w:t>Tfn.</w:t>
                </w:r>
                <w:proofErr w:type="gramEnd"/>
                <w:r w:rsidRPr="00135DE0">
                  <w:rPr>
                    <w:szCs w:val="20"/>
                    <w:lang w:val="sv-SE"/>
                  </w:rPr>
                  <w:t xml:space="preserve"> (351) 211 21 02 00 </w:t>
                </w:r>
                <w:r w:rsidRPr="00135DE0">
                  <w:rPr>
                    <w:sz w:val="18"/>
                    <w:szCs w:val="20"/>
                    <w:lang w:val="sv-SE"/>
                  </w:rPr>
                  <w:t xml:space="preserve">I </w:t>
                </w:r>
                <w:r w:rsidRPr="00135DE0">
                  <w:rPr>
                    <w:szCs w:val="20"/>
                    <w:lang w:val="sv-SE"/>
                  </w:rPr>
                  <w:t xml:space="preserve">press@emcdda.europa.eu </w:t>
                </w:r>
                <w:r w:rsidRPr="00135DE0">
                  <w:rPr>
                    <w:sz w:val="18"/>
                    <w:szCs w:val="20"/>
                    <w:lang w:val="sv-SE"/>
                  </w:rPr>
                  <w:t>I</w:t>
                </w:r>
                <w:r w:rsidRPr="00135DE0">
                  <w:rPr>
                    <w:szCs w:val="20"/>
                    <w:lang w:val="sv-SE"/>
                  </w:rPr>
                  <w:t xml:space="preserve"> emcdda.europa.eu</w:t>
                </w:r>
              </w:p>
            </w:tc>
            <w:tc>
              <w:tcPr>
                <w:tcW w:w="3294" w:type="dxa"/>
                <w:shd w:val="clear" w:color="auto" w:fill="auto"/>
                <w:vAlign w:val="bottom"/>
              </w:tcPr>
              <w:p w:rsidR="00CA5FA2" w:rsidRPr="00135DE0" w:rsidRDefault="00CA5FA2" w:rsidP="0019085F">
                <w:pPr>
                  <w:pStyle w:val="newsReference"/>
                  <w:rPr>
                    <w:szCs w:val="20"/>
                  </w:rPr>
                </w:pPr>
                <w:r w:rsidRPr="00135DE0">
                  <w:rPr>
                    <w:szCs w:val="20"/>
                  </w:rPr>
                  <w:t>EN — No 4/2014</w:t>
                </w:r>
              </w:p>
            </w:tc>
          </w:tr>
        </w:tbl>
        <w:p w:rsidR="00A55269" w:rsidRPr="00135DE0" w:rsidRDefault="00A55269">
          <w:pPr>
            <w:pStyle w:val="newsCoordinates"/>
            <w:rPr>
              <w:rFonts w:eastAsia="Calibri" w:cs="Arial"/>
              <w:lang w:val="pt-PT" w:eastAsia="en-US"/>
            </w:rPr>
          </w:pPr>
        </w:p>
      </w:tc>
      <w:tc>
        <w:tcPr>
          <w:tcW w:w="3294" w:type="dxa"/>
          <w:vAlign w:val="bottom"/>
        </w:tcPr>
        <w:p w:rsidR="00A55269" w:rsidRDefault="00CA5FA2" w:rsidP="00CA5FA2">
          <w:pPr>
            <w:pStyle w:val="newsReference"/>
            <w:rPr>
              <w:szCs w:val="24"/>
            </w:rPr>
          </w:pPr>
          <w:r>
            <w:rPr>
              <w:noProof/>
              <w:szCs w:val="24"/>
            </w:rPr>
            <w:t>SV — Nr 4/2014</w:t>
          </w:r>
        </w:p>
      </w:tc>
    </w:tr>
  </w:tbl>
  <w:p w:rsidR="00A55269" w:rsidRDefault="00A55269">
    <w:pPr>
      <w:pStyle w:val="Footer"/>
      <w:rPr>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4A7" w:rsidRDefault="000364A7">
      <w:pPr>
        <w:spacing w:after="0" w:line="240" w:lineRule="auto"/>
        <w:rPr>
          <w:szCs w:val="24"/>
        </w:rPr>
      </w:pPr>
      <w:r>
        <w:rPr>
          <w:szCs w:val="24"/>
        </w:rPr>
        <w:separator/>
      </w:r>
    </w:p>
  </w:footnote>
  <w:footnote w:type="continuationSeparator" w:id="0">
    <w:p w:rsidR="000364A7" w:rsidRDefault="000364A7">
      <w:pPr>
        <w:spacing w:after="0" w:line="240" w:lineRule="auto"/>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9665" w:type="dxa"/>
      <w:tblInd w:w="-483" w:type="dxa"/>
      <w:tblLayout w:type="fixed"/>
      <w:tblCellMar>
        <w:left w:w="57" w:type="dxa"/>
        <w:right w:w="57" w:type="dxa"/>
      </w:tblCellMar>
      <w:tblLook w:val="00A0" w:firstRow="1" w:lastRow="0" w:firstColumn="1" w:lastColumn="0" w:noHBand="0" w:noVBand="0"/>
    </w:tblPr>
    <w:tblGrid>
      <w:gridCol w:w="9175"/>
      <w:gridCol w:w="7196"/>
      <w:gridCol w:w="3294"/>
    </w:tblGrid>
    <w:tr w:rsidR="006A1BEE" w:rsidTr="001B7DC0">
      <w:tc>
        <w:tcPr>
          <w:tcW w:w="9175" w:type="dxa"/>
        </w:tcPr>
        <w:p w:rsidR="006A1BEE" w:rsidRPr="006A1BEE" w:rsidRDefault="003E33AE" w:rsidP="00AD6754">
          <w:pPr>
            <w:pStyle w:val="newsEmbargo"/>
            <w:rPr>
              <w:lang w:val="sv-SE"/>
            </w:rPr>
          </w:pPr>
          <w:r>
            <w:rPr>
              <w:noProof/>
            </w:rPr>
            <w:pict>
              <v:line id="Straight Connector 11" o:spid="_x0000_s2055" style="position:absolute;left:0;text-align:left;z-index:-251660288;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 from="2.8pt,-.1pt" to="2.8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" strokecolor="#009" strokeweight="1.5pt">
                <w10:wrap anchorx="page" anchory="page"/>
              </v:line>
            </w:pict>
          </w:r>
          <w:r w:rsidR="006A1BEE" w:rsidRPr="00135DE0">
            <w:rPr>
              <w:rFonts w:eastAsia="Calibri" w:cs="Arial"/>
              <w:noProof/>
              <w:lang w:val="sv-SE" w:eastAsia="en-GB"/>
            </w:rPr>
            <w:t>Perspektiv på droger</w:t>
          </w:r>
          <w:r w:rsidR="006A1BEE" w:rsidRPr="006A1BEE">
            <w:rPr>
              <w:noProof/>
              <w:lang w:val="sv-SE" w:eastAsia="en-GB"/>
            </w:rPr>
            <w:t xml:space="preserve"> </w:t>
          </w:r>
          <w:r w:rsidR="006A1BEE" w:rsidRPr="006A1BEE">
            <w:rPr>
              <w:noProof/>
              <w:sz w:val="18"/>
              <w:lang w:val="sv-SE" w:eastAsia="en-GB"/>
            </w:rPr>
            <w:t>I</w:t>
          </w:r>
          <w:r w:rsidR="006A1BEE" w:rsidRPr="006A1BEE">
            <w:rPr>
              <w:noProof/>
              <w:lang w:val="sv-SE" w:eastAsia="en-GB"/>
            </w:rPr>
            <w:t xml:space="preserve"> </w:t>
          </w:r>
          <w:r w:rsidR="006A1BEE" w:rsidRPr="005B6F0E">
            <w:rPr>
              <w:b/>
              <w:noProof/>
              <w:color w:val="FF0000"/>
              <w:szCs w:val="24"/>
              <w:lang w:val="sv-SE"/>
            </w:rPr>
            <w:t>FÅR EJ PUBLICERAS FÖRE kl. 10:00 WET/Lissabontid</w:t>
          </w:r>
        </w:p>
      </w:tc>
      <w:tc>
        <w:tcPr>
          <w:tcW w:w="7196" w:type="dxa"/>
        </w:tcPr>
        <w:p w:rsidR="006A1BEE" w:rsidRPr="006A1BEE" w:rsidRDefault="006A1BEE" w:rsidP="006A1BEE">
          <w:pPr>
            <w:pStyle w:val="newsEmbargo"/>
            <w:rPr>
              <w:b/>
              <w:noProof/>
              <w:color w:val="003399"/>
              <w:szCs w:val="24"/>
              <w:lang w:val="sv-SE"/>
            </w:rPr>
          </w:pPr>
          <w:r w:rsidRPr="006A1BEE">
            <w:rPr>
              <w:noProof/>
              <w:color w:val="auto"/>
              <w:sz w:val="14"/>
              <w:szCs w:val="24"/>
            </w:rPr>
            <w:t>27.5.2014</w:t>
          </w:r>
        </w:p>
      </w:tc>
      <w:tc>
        <w:tcPr>
          <w:tcW w:w="3294" w:type="dxa"/>
          <w:vAlign w:val="bottom"/>
        </w:tcPr>
        <w:p w:rsidR="006A1BEE" w:rsidRDefault="006A1BEE">
          <w:pPr>
            <w:pStyle w:val="newsReference"/>
            <w:rPr>
              <w:szCs w:val="24"/>
            </w:rPr>
          </w:pPr>
          <w:r>
            <w:rPr>
              <w:szCs w:val="24"/>
            </w:rPr>
            <w:t>27.5.2014</w:t>
          </w:r>
        </w:p>
      </w:tc>
    </w:tr>
  </w:tbl>
  <w:p w:rsidR="00A55269" w:rsidRDefault="00A55269">
    <w:pPr>
      <w:pStyle w:val="Header"/>
      <w:rPr>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8432D"/>
    <w:multiLevelType w:val="hybridMultilevel"/>
    <w:tmpl w:val="B8AE9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B2B3971"/>
    <w:multiLevelType w:val="hybridMultilevel"/>
    <w:tmpl w:val="E53A7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AF099F"/>
    <w:multiLevelType w:val="hybridMultilevel"/>
    <w:tmpl w:val="B2B8E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99A4A56"/>
    <w:multiLevelType w:val="hybridMultilevel"/>
    <w:tmpl w:val="8A321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EBC3A3B"/>
    <w:multiLevelType w:val="hybridMultilevel"/>
    <w:tmpl w:val="9BE87E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oNotTrackMoves/>
  <w:defaultTabStop w:val="720"/>
  <w:hyphenationZone w:val="425"/>
  <w:drawingGridHorizontalSpacing w:val="110"/>
  <w:displayHorizontalDrawingGridEvery w:val="2"/>
  <w:displayVerticalDrawingGridEvery w:val="2"/>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719C"/>
    <w:rsid w:val="000007AF"/>
    <w:rsid w:val="00006A35"/>
    <w:rsid w:val="00014E8E"/>
    <w:rsid w:val="00023062"/>
    <w:rsid w:val="000231DD"/>
    <w:rsid w:val="00025C96"/>
    <w:rsid w:val="000335D8"/>
    <w:rsid w:val="000364A7"/>
    <w:rsid w:val="00036DAA"/>
    <w:rsid w:val="0004099A"/>
    <w:rsid w:val="00042EDA"/>
    <w:rsid w:val="00046BC2"/>
    <w:rsid w:val="000535B7"/>
    <w:rsid w:val="00066C5C"/>
    <w:rsid w:val="00066DCC"/>
    <w:rsid w:val="00067DD3"/>
    <w:rsid w:val="00067F6C"/>
    <w:rsid w:val="000722F3"/>
    <w:rsid w:val="00075735"/>
    <w:rsid w:val="00080F9B"/>
    <w:rsid w:val="00094745"/>
    <w:rsid w:val="000B7A3B"/>
    <w:rsid w:val="000C6200"/>
    <w:rsid w:val="000C77EB"/>
    <w:rsid w:val="000D09FC"/>
    <w:rsid w:val="000D25B6"/>
    <w:rsid w:val="000D5E92"/>
    <w:rsid w:val="000E69E5"/>
    <w:rsid w:val="000F40DF"/>
    <w:rsid w:val="000F7317"/>
    <w:rsid w:val="00105BFC"/>
    <w:rsid w:val="00107C96"/>
    <w:rsid w:val="00112FBA"/>
    <w:rsid w:val="00114B87"/>
    <w:rsid w:val="00117B9F"/>
    <w:rsid w:val="00125651"/>
    <w:rsid w:val="00130564"/>
    <w:rsid w:val="00133582"/>
    <w:rsid w:val="00135DE0"/>
    <w:rsid w:val="00147EC6"/>
    <w:rsid w:val="00150F15"/>
    <w:rsid w:val="001574E2"/>
    <w:rsid w:val="00164CB4"/>
    <w:rsid w:val="00167D76"/>
    <w:rsid w:val="0017271F"/>
    <w:rsid w:val="0017713E"/>
    <w:rsid w:val="001800D0"/>
    <w:rsid w:val="001801D4"/>
    <w:rsid w:val="001848B8"/>
    <w:rsid w:val="0018642D"/>
    <w:rsid w:val="00187B93"/>
    <w:rsid w:val="00191616"/>
    <w:rsid w:val="00193E4B"/>
    <w:rsid w:val="00195376"/>
    <w:rsid w:val="001A3338"/>
    <w:rsid w:val="001A5C18"/>
    <w:rsid w:val="001B0A3C"/>
    <w:rsid w:val="001B102D"/>
    <w:rsid w:val="001B1DA1"/>
    <w:rsid w:val="001B74EB"/>
    <w:rsid w:val="001B7DC0"/>
    <w:rsid w:val="001C05A8"/>
    <w:rsid w:val="001C26A4"/>
    <w:rsid w:val="001C795A"/>
    <w:rsid w:val="001D179B"/>
    <w:rsid w:val="001D5C26"/>
    <w:rsid w:val="001E33D3"/>
    <w:rsid w:val="001E39A7"/>
    <w:rsid w:val="001E4544"/>
    <w:rsid w:val="001F70B4"/>
    <w:rsid w:val="001F7D13"/>
    <w:rsid w:val="00206646"/>
    <w:rsid w:val="00216C87"/>
    <w:rsid w:val="00216D75"/>
    <w:rsid w:val="00223753"/>
    <w:rsid w:val="00231487"/>
    <w:rsid w:val="0024165C"/>
    <w:rsid w:val="002419E2"/>
    <w:rsid w:val="00243F28"/>
    <w:rsid w:val="002557B0"/>
    <w:rsid w:val="00257357"/>
    <w:rsid w:val="002645A8"/>
    <w:rsid w:val="002646E4"/>
    <w:rsid w:val="00270DB1"/>
    <w:rsid w:val="0027252D"/>
    <w:rsid w:val="00274794"/>
    <w:rsid w:val="00276B02"/>
    <w:rsid w:val="0028141E"/>
    <w:rsid w:val="00292149"/>
    <w:rsid w:val="0029353C"/>
    <w:rsid w:val="002948E2"/>
    <w:rsid w:val="002A4C05"/>
    <w:rsid w:val="002A52CE"/>
    <w:rsid w:val="002A61F7"/>
    <w:rsid w:val="002B05CE"/>
    <w:rsid w:val="002B3163"/>
    <w:rsid w:val="002B45AC"/>
    <w:rsid w:val="002B70B0"/>
    <w:rsid w:val="002B74E8"/>
    <w:rsid w:val="002C02C3"/>
    <w:rsid w:val="002C04F0"/>
    <w:rsid w:val="002D0144"/>
    <w:rsid w:val="002D171F"/>
    <w:rsid w:val="002D5321"/>
    <w:rsid w:val="002D7EE3"/>
    <w:rsid w:val="002E4882"/>
    <w:rsid w:val="00303D0F"/>
    <w:rsid w:val="0030486D"/>
    <w:rsid w:val="00312F66"/>
    <w:rsid w:val="00313B4C"/>
    <w:rsid w:val="00317B5A"/>
    <w:rsid w:val="003200B1"/>
    <w:rsid w:val="003269B9"/>
    <w:rsid w:val="00327DA5"/>
    <w:rsid w:val="0033158E"/>
    <w:rsid w:val="0033159F"/>
    <w:rsid w:val="00332513"/>
    <w:rsid w:val="00332C2A"/>
    <w:rsid w:val="00333460"/>
    <w:rsid w:val="00334C24"/>
    <w:rsid w:val="00337ECC"/>
    <w:rsid w:val="00343ECE"/>
    <w:rsid w:val="00351881"/>
    <w:rsid w:val="00351C0D"/>
    <w:rsid w:val="0035293B"/>
    <w:rsid w:val="0036121D"/>
    <w:rsid w:val="00362443"/>
    <w:rsid w:val="00362E30"/>
    <w:rsid w:val="00387D02"/>
    <w:rsid w:val="0039134B"/>
    <w:rsid w:val="00391D51"/>
    <w:rsid w:val="00397534"/>
    <w:rsid w:val="003A0766"/>
    <w:rsid w:val="003A7844"/>
    <w:rsid w:val="003B00EE"/>
    <w:rsid w:val="003B41B1"/>
    <w:rsid w:val="003C0395"/>
    <w:rsid w:val="003C194C"/>
    <w:rsid w:val="003C5F39"/>
    <w:rsid w:val="003C6AF1"/>
    <w:rsid w:val="003D0487"/>
    <w:rsid w:val="003D6508"/>
    <w:rsid w:val="003E264F"/>
    <w:rsid w:val="003E33AE"/>
    <w:rsid w:val="004033E9"/>
    <w:rsid w:val="004137B0"/>
    <w:rsid w:val="0041405E"/>
    <w:rsid w:val="004209C3"/>
    <w:rsid w:val="00420FC2"/>
    <w:rsid w:val="00421305"/>
    <w:rsid w:val="004221D3"/>
    <w:rsid w:val="004239B7"/>
    <w:rsid w:val="004378E7"/>
    <w:rsid w:val="0044111C"/>
    <w:rsid w:val="00445080"/>
    <w:rsid w:val="0045468D"/>
    <w:rsid w:val="0046179A"/>
    <w:rsid w:val="00471CC0"/>
    <w:rsid w:val="00474AC8"/>
    <w:rsid w:val="00482CE8"/>
    <w:rsid w:val="004832D2"/>
    <w:rsid w:val="004847FB"/>
    <w:rsid w:val="00491D27"/>
    <w:rsid w:val="004A4982"/>
    <w:rsid w:val="004B2B3C"/>
    <w:rsid w:val="004C3028"/>
    <w:rsid w:val="004D57EC"/>
    <w:rsid w:val="004D6E0C"/>
    <w:rsid w:val="004E0649"/>
    <w:rsid w:val="004E1E05"/>
    <w:rsid w:val="004E1E22"/>
    <w:rsid w:val="004F2825"/>
    <w:rsid w:val="00511C15"/>
    <w:rsid w:val="005153AE"/>
    <w:rsid w:val="005162AE"/>
    <w:rsid w:val="00520EF1"/>
    <w:rsid w:val="00541A97"/>
    <w:rsid w:val="00542CEE"/>
    <w:rsid w:val="00543667"/>
    <w:rsid w:val="00544E74"/>
    <w:rsid w:val="0054516A"/>
    <w:rsid w:val="00545BD5"/>
    <w:rsid w:val="00547256"/>
    <w:rsid w:val="00555226"/>
    <w:rsid w:val="0055684D"/>
    <w:rsid w:val="00557FD9"/>
    <w:rsid w:val="005625D4"/>
    <w:rsid w:val="005653A8"/>
    <w:rsid w:val="00583A56"/>
    <w:rsid w:val="005869C3"/>
    <w:rsid w:val="00587E09"/>
    <w:rsid w:val="005933EF"/>
    <w:rsid w:val="005944A5"/>
    <w:rsid w:val="005A0DC8"/>
    <w:rsid w:val="005B05A0"/>
    <w:rsid w:val="005B0882"/>
    <w:rsid w:val="005B1B63"/>
    <w:rsid w:val="005B6F0E"/>
    <w:rsid w:val="005C0745"/>
    <w:rsid w:val="005C13BA"/>
    <w:rsid w:val="005C4033"/>
    <w:rsid w:val="005C7C2F"/>
    <w:rsid w:val="005D3462"/>
    <w:rsid w:val="005E3A14"/>
    <w:rsid w:val="005E6C2B"/>
    <w:rsid w:val="005E734D"/>
    <w:rsid w:val="00601EAE"/>
    <w:rsid w:val="00610C38"/>
    <w:rsid w:val="006116D9"/>
    <w:rsid w:val="0061775A"/>
    <w:rsid w:val="00622A39"/>
    <w:rsid w:val="00623A55"/>
    <w:rsid w:val="00623B75"/>
    <w:rsid w:val="006261FA"/>
    <w:rsid w:val="0063677C"/>
    <w:rsid w:val="00646CB5"/>
    <w:rsid w:val="006474C2"/>
    <w:rsid w:val="00650BE4"/>
    <w:rsid w:val="006568FE"/>
    <w:rsid w:val="006627F0"/>
    <w:rsid w:val="00666A63"/>
    <w:rsid w:val="00670BC4"/>
    <w:rsid w:val="00671508"/>
    <w:rsid w:val="00685D83"/>
    <w:rsid w:val="00686810"/>
    <w:rsid w:val="0069096E"/>
    <w:rsid w:val="006A1BEE"/>
    <w:rsid w:val="006A448F"/>
    <w:rsid w:val="006B322F"/>
    <w:rsid w:val="006C3732"/>
    <w:rsid w:val="006C70A0"/>
    <w:rsid w:val="006D1A38"/>
    <w:rsid w:val="006D2DB3"/>
    <w:rsid w:val="006D6B82"/>
    <w:rsid w:val="006E67B1"/>
    <w:rsid w:val="006F7FDF"/>
    <w:rsid w:val="007003A8"/>
    <w:rsid w:val="00705E3A"/>
    <w:rsid w:val="00724019"/>
    <w:rsid w:val="00730132"/>
    <w:rsid w:val="007334CA"/>
    <w:rsid w:val="00735089"/>
    <w:rsid w:val="00737455"/>
    <w:rsid w:val="00754E50"/>
    <w:rsid w:val="00773814"/>
    <w:rsid w:val="007740AC"/>
    <w:rsid w:val="00774992"/>
    <w:rsid w:val="007819C2"/>
    <w:rsid w:val="0078744E"/>
    <w:rsid w:val="00791F09"/>
    <w:rsid w:val="007920E3"/>
    <w:rsid w:val="007927D2"/>
    <w:rsid w:val="00794D59"/>
    <w:rsid w:val="00795019"/>
    <w:rsid w:val="007B0E03"/>
    <w:rsid w:val="007B1CCD"/>
    <w:rsid w:val="007B3FA7"/>
    <w:rsid w:val="007E5DE3"/>
    <w:rsid w:val="007F0B4E"/>
    <w:rsid w:val="007F0EAD"/>
    <w:rsid w:val="00802EBA"/>
    <w:rsid w:val="00806A62"/>
    <w:rsid w:val="00807AC1"/>
    <w:rsid w:val="00813FB5"/>
    <w:rsid w:val="0081623D"/>
    <w:rsid w:val="00816BF3"/>
    <w:rsid w:val="008179C1"/>
    <w:rsid w:val="00826CFF"/>
    <w:rsid w:val="008301BA"/>
    <w:rsid w:val="00837F8F"/>
    <w:rsid w:val="00841E86"/>
    <w:rsid w:val="00853EEA"/>
    <w:rsid w:val="00860C28"/>
    <w:rsid w:val="00870194"/>
    <w:rsid w:val="00875018"/>
    <w:rsid w:val="00875125"/>
    <w:rsid w:val="00875617"/>
    <w:rsid w:val="00881730"/>
    <w:rsid w:val="008A1876"/>
    <w:rsid w:val="008A32DE"/>
    <w:rsid w:val="008B0F13"/>
    <w:rsid w:val="008B35EC"/>
    <w:rsid w:val="008C0886"/>
    <w:rsid w:val="008C1172"/>
    <w:rsid w:val="008C1B06"/>
    <w:rsid w:val="008C3AFD"/>
    <w:rsid w:val="008C49E7"/>
    <w:rsid w:val="008C6C93"/>
    <w:rsid w:val="008D4910"/>
    <w:rsid w:val="008D54B3"/>
    <w:rsid w:val="008E6E3C"/>
    <w:rsid w:val="008F177B"/>
    <w:rsid w:val="008F399E"/>
    <w:rsid w:val="00902300"/>
    <w:rsid w:val="00902ACE"/>
    <w:rsid w:val="00913325"/>
    <w:rsid w:val="009212CD"/>
    <w:rsid w:val="00921650"/>
    <w:rsid w:val="00926685"/>
    <w:rsid w:val="009267B0"/>
    <w:rsid w:val="0092719C"/>
    <w:rsid w:val="00930F8E"/>
    <w:rsid w:val="00931B3B"/>
    <w:rsid w:val="00933B23"/>
    <w:rsid w:val="00936AC8"/>
    <w:rsid w:val="00944227"/>
    <w:rsid w:val="00944CBD"/>
    <w:rsid w:val="00955F0C"/>
    <w:rsid w:val="00974A27"/>
    <w:rsid w:val="00983CC6"/>
    <w:rsid w:val="009A28FB"/>
    <w:rsid w:val="009B1A9F"/>
    <w:rsid w:val="009B54F2"/>
    <w:rsid w:val="009D54D0"/>
    <w:rsid w:val="009D6255"/>
    <w:rsid w:val="009D7B7D"/>
    <w:rsid w:val="009E25FB"/>
    <w:rsid w:val="009E5334"/>
    <w:rsid w:val="009F2568"/>
    <w:rsid w:val="009F2DE5"/>
    <w:rsid w:val="009F3D99"/>
    <w:rsid w:val="009F4FB0"/>
    <w:rsid w:val="00A018DE"/>
    <w:rsid w:val="00A01AF8"/>
    <w:rsid w:val="00A03329"/>
    <w:rsid w:val="00A0788A"/>
    <w:rsid w:val="00A136AA"/>
    <w:rsid w:val="00A15FDF"/>
    <w:rsid w:val="00A16B77"/>
    <w:rsid w:val="00A1756B"/>
    <w:rsid w:val="00A204DC"/>
    <w:rsid w:val="00A22173"/>
    <w:rsid w:val="00A27289"/>
    <w:rsid w:val="00A311EF"/>
    <w:rsid w:val="00A322F9"/>
    <w:rsid w:val="00A3254D"/>
    <w:rsid w:val="00A346AF"/>
    <w:rsid w:val="00A34B14"/>
    <w:rsid w:val="00A35B09"/>
    <w:rsid w:val="00A44BE6"/>
    <w:rsid w:val="00A518E2"/>
    <w:rsid w:val="00A519DC"/>
    <w:rsid w:val="00A55269"/>
    <w:rsid w:val="00A650B5"/>
    <w:rsid w:val="00A65AC2"/>
    <w:rsid w:val="00A661E2"/>
    <w:rsid w:val="00A662A3"/>
    <w:rsid w:val="00A71949"/>
    <w:rsid w:val="00A73972"/>
    <w:rsid w:val="00A74389"/>
    <w:rsid w:val="00A7704E"/>
    <w:rsid w:val="00A841A9"/>
    <w:rsid w:val="00A843D2"/>
    <w:rsid w:val="00A856B7"/>
    <w:rsid w:val="00AA15DA"/>
    <w:rsid w:val="00AA5155"/>
    <w:rsid w:val="00AA584A"/>
    <w:rsid w:val="00AB1FD1"/>
    <w:rsid w:val="00AC1271"/>
    <w:rsid w:val="00AD6754"/>
    <w:rsid w:val="00AD7BFC"/>
    <w:rsid w:val="00AE093C"/>
    <w:rsid w:val="00AE1738"/>
    <w:rsid w:val="00AF13B3"/>
    <w:rsid w:val="00AF259D"/>
    <w:rsid w:val="00AF2696"/>
    <w:rsid w:val="00AF48CC"/>
    <w:rsid w:val="00AF678C"/>
    <w:rsid w:val="00B00D4D"/>
    <w:rsid w:val="00B1039A"/>
    <w:rsid w:val="00B11A35"/>
    <w:rsid w:val="00B11B73"/>
    <w:rsid w:val="00B11EB3"/>
    <w:rsid w:val="00B11F96"/>
    <w:rsid w:val="00B13F14"/>
    <w:rsid w:val="00B16FE8"/>
    <w:rsid w:val="00B272F1"/>
    <w:rsid w:val="00B27941"/>
    <w:rsid w:val="00B33AAA"/>
    <w:rsid w:val="00B34748"/>
    <w:rsid w:val="00B35292"/>
    <w:rsid w:val="00B40426"/>
    <w:rsid w:val="00B458EB"/>
    <w:rsid w:val="00B460E8"/>
    <w:rsid w:val="00B50AB8"/>
    <w:rsid w:val="00B51E08"/>
    <w:rsid w:val="00B57464"/>
    <w:rsid w:val="00B61036"/>
    <w:rsid w:val="00B72DD3"/>
    <w:rsid w:val="00B7335C"/>
    <w:rsid w:val="00B74CE9"/>
    <w:rsid w:val="00B939A6"/>
    <w:rsid w:val="00B97BC5"/>
    <w:rsid w:val="00BA1B63"/>
    <w:rsid w:val="00BB3822"/>
    <w:rsid w:val="00BB5B77"/>
    <w:rsid w:val="00BB60CF"/>
    <w:rsid w:val="00BC0C6F"/>
    <w:rsid w:val="00BD2FBB"/>
    <w:rsid w:val="00BD730E"/>
    <w:rsid w:val="00BE21A0"/>
    <w:rsid w:val="00BE4E06"/>
    <w:rsid w:val="00BF0C8C"/>
    <w:rsid w:val="00BF16CB"/>
    <w:rsid w:val="00BF1E3B"/>
    <w:rsid w:val="00BF4CCB"/>
    <w:rsid w:val="00C02367"/>
    <w:rsid w:val="00C22DB4"/>
    <w:rsid w:val="00C22FA6"/>
    <w:rsid w:val="00C268DE"/>
    <w:rsid w:val="00C36BC1"/>
    <w:rsid w:val="00C426F8"/>
    <w:rsid w:val="00C475E1"/>
    <w:rsid w:val="00C479D0"/>
    <w:rsid w:val="00C54FEC"/>
    <w:rsid w:val="00C628C4"/>
    <w:rsid w:val="00C63254"/>
    <w:rsid w:val="00C63E37"/>
    <w:rsid w:val="00C75D9C"/>
    <w:rsid w:val="00C874C0"/>
    <w:rsid w:val="00C9256C"/>
    <w:rsid w:val="00C94C3D"/>
    <w:rsid w:val="00CA2FF5"/>
    <w:rsid w:val="00CA5FA2"/>
    <w:rsid w:val="00CA6F07"/>
    <w:rsid w:val="00CA704F"/>
    <w:rsid w:val="00CB1D9D"/>
    <w:rsid w:val="00CB49DA"/>
    <w:rsid w:val="00CB530F"/>
    <w:rsid w:val="00CB6871"/>
    <w:rsid w:val="00CC1F19"/>
    <w:rsid w:val="00CC3CB7"/>
    <w:rsid w:val="00CC4FDA"/>
    <w:rsid w:val="00CC6A8B"/>
    <w:rsid w:val="00CC7AB9"/>
    <w:rsid w:val="00CC7E71"/>
    <w:rsid w:val="00CD5DB9"/>
    <w:rsid w:val="00CE1BE7"/>
    <w:rsid w:val="00CF00C2"/>
    <w:rsid w:val="00CF1D2A"/>
    <w:rsid w:val="00CF4EBF"/>
    <w:rsid w:val="00CF6944"/>
    <w:rsid w:val="00D00C7E"/>
    <w:rsid w:val="00D01335"/>
    <w:rsid w:val="00D03EC6"/>
    <w:rsid w:val="00D06C03"/>
    <w:rsid w:val="00D1526C"/>
    <w:rsid w:val="00D16A3A"/>
    <w:rsid w:val="00D23EB6"/>
    <w:rsid w:val="00D261DF"/>
    <w:rsid w:val="00D27287"/>
    <w:rsid w:val="00D3312B"/>
    <w:rsid w:val="00D375AF"/>
    <w:rsid w:val="00D37865"/>
    <w:rsid w:val="00D43F23"/>
    <w:rsid w:val="00D45200"/>
    <w:rsid w:val="00D508E2"/>
    <w:rsid w:val="00D57367"/>
    <w:rsid w:val="00D646CB"/>
    <w:rsid w:val="00D66EBE"/>
    <w:rsid w:val="00D74AB2"/>
    <w:rsid w:val="00D84AE3"/>
    <w:rsid w:val="00D92A34"/>
    <w:rsid w:val="00DC0CD9"/>
    <w:rsid w:val="00DC485E"/>
    <w:rsid w:val="00DC7F1E"/>
    <w:rsid w:val="00DD1E75"/>
    <w:rsid w:val="00DD3BCD"/>
    <w:rsid w:val="00DD3DB5"/>
    <w:rsid w:val="00DD500F"/>
    <w:rsid w:val="00DD6346"/>
    <w:rsid w:val="00DF3987"/>
    <w:rsid w:val="00DF39B6"/>
    <w:rsid w:val="00DF6606"/>
    <w:rsid w:val="00DF7C96"/>
    <w:rsid w:val="00E001FE"/>
    <w:rsid w:val="00E0331A"/>
    <w:rsid w:val="00E15F0B"/>
    <w:rsid w:val="00E16F24"/>
    <w:rsid w:val="00E21156"/>
    <w:rsid w:val="00E232DE"/>
    <w:rsid w:val="00E233F5"/>
    <w:rsid w:val="00E311F0"/>
    <w:rsid w:val="00E35A89"/>
    <w:rsid w:val="00E413AC"/>
    <w:rsid w:val="00E4360E"/>
    <w:rsid w:val="00E4373A"/>
    <w:rsid w:val="00E50B4C"/>
    <w:rsid w:val="00E57C9D"/>
    <w:rsid w:val="00E63400"/>
    <w:rsid w:val="00E66CCD"/>
    <w:rsid w:val="00E76AD8"/>
    <w:rsid w:val="00E817C9"/>
    <w:rsid w:val="00E81F3D"/>
    <w:rsid w:val="00E83FC3"/>
    <w:rsid w:val="00E84EB5"/>
    <w:rsid w:val="00E86B71"/>
    <w:rsid w:val="00E90C3C"/>
    <w:rsid w:val="00E92255"/>
    <w:rsid w:val="00E9414F"/>
    <w:rsid w:val="00EB4F0D"/>
    <w:rsid w:val="00EB5106"/>
    <w:rsid w:val="00EB62E7"/>
    <w:rsid w:val="00EC292E"/>
    <w:rsid w:val="00ED1218"/>
    <w:rsid w:val="00ED6EE2"/>
    <w:rsid w:val="00EE23CC"/>
    <w:rsid w:val="00F022E8"/>
    <w:rsid w:val="00F04FA4"/>
    <w:rsid w:val="00F06CDE"/>
    <w:rsid w:val="00F15F1E"/>
    <w:rsid w:val="00F21CA9"/>
    <w:rsid w:val="00F231DD"/>
    <w:rsid w:val="00F24096"/>
    <w:rsid w:val="00F249CD"/>
    <w:rsid w:val="00F25BB3"/>
    <w:rsid w:val="00F35CE4"/>
    <w:rsid w:val="00F414EF"/>
    <w:rsid w:val="00F47542"/>
    <w:rsid w:val="00F557D0"/>
    <w:rsid w:val="00F73AA5"/>
    <w:rsid w:val="00F75259"/>
    <w:rsid w:val="00F848E5"/>
    <w:rsid w:val="00FA6659"/>
    <w:rsid w:val="00FB1D61"/>
    <w:rsid w:val="00FB351B"/>
    <w:rsid w:val="00FB4DAF"/>
    <w:rsid w:val="00FB5BA5"/>
    <w:rsid w:val="00FC0187"/>
    <w:rsid w:val="00FC3652"/>
    <w:rsid w:val="00FC66C4"/>
    <w:rsid w:val="00FD228B"/>
    <w:rsid w:val="00FD5AA2"/>
    <w:rsid w:val="00FD7B6F"/>
    <w:rsid w:val="00FE3721"/>
    <w:rsid w:val="00FE4789"/>
    <w:rsid w:val="00FE5BA6"/>
    <w:rsid w:val="00FF02BA"/>
    <w:rsid w:val="00FF1720"/>
    <w:rsid w:val="00FF1CAD"/>
  </w:rsids>
  <m:mathPr>
    <m:mathFont m:val="Cambria Math"/>
    <m:brkBin m:val="before"/>
    <m:brkBinSub m:val="--"/>
    <m:smallFrac m:val="0"/>
    <m:dispDef/>
    <m:lMargin m:val="0"/>
    <m:rMargin m:val="0"/>
    <m:defJc m:val="centerGroup"/>
    <m:wrapIndent m:val="1440"/>
    <m:intLim m:val="subSup"/>
    <m:naryLim m:val="undOvr"/>
  </m:mathPr>
  <w:themeFontLang w:val="sv-SE" w:eastAsia="zh-TW"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8"/>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LU" w:eastAsia="fr-L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sz w:val="22"/>
      <w:szCs w:val="22"/>
      <w:lang w:val="en-GB" w:eastAsia="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pPr>
      <w:spacing w:after="0" w:line="240" w:lineRule="auto"/>
    </w:pPr>
    <w:rPr>
      <w:rFonts w:ascii="Times New Roman" w:hAnsi="Times New Roman"/>
      <w:sz w:val="16"/>
      <w:szCs w:val="16"/>
    </w:rPr>
  </w:style>
  <w:style w:type="character" w:customStyle="1" w:styleId="BalloonTextChar">
    <w:name w:val="Balloon Text Char"/>
    <w:link w:val="BalloonText"/>
    <w:uiPriority w:val="99"/>
    <w:semiHidden/>
    <w:locked/>
    <w:rPr>
      <w:rFonts w:ascii="Times New Roman" w:hAnsi="Times New Roman" w:cs="Times New Roman"/>
      <w:sz w:val="16"/>
      <w:szCs w:val="16"/>
    </w:rPr>
  </w:style>
  <w:style w:type="paragraph" w:customStyle="1" w:styleId="newsTitle">
    <w:name w:val="newsTitle"/>
    <w:basedOn w:val="Normal"/>
    <w:autoRedefine/>
    <w:uiPriority w:val="99"/>
    <w:rsid w:val="00CA5FA2"/>
    <w:pPr>
      <w:tabs>
        <w:tab w:val="left" w:pos="5205"/>
      </w:tabs>
      <w:spacing w:before="480" w:after="120" w:line="240" w:lineRule="auto"/>
    </w:pPr>
    <w:rPr>
      <w:rFonts w:ascii="Arial" w:hAnsi="Arial"/>
      <w:caps/>
      <w:sz w:val="26"/>
      <w:szCs w:val="24"/>
    </w:rPr>
  </w:style>
  <w:style w:type="paragraph" w:styleId="Header">
    <w:name w:val="header"/>
    <w:basedOn w:val="Normal"/>
    <w:link w:val="HeaderChar"/>
    <w:uiPriority w:val="99"/>
    <w:pPr>
      <w:tabs>
        <w:tab w:val="center" w:pos="4536"/>
        <w:tab w:val="right" w:pos="9072"/>
      </w:tabs>
      <w:spacing w:after="0" w:line="240" w:lineRule="auto"/>
    </w:pPr>
  </w:style>
  <w:style w:type="character" w:customStyle="1" w:styleId="HeaderChar">
    <w:name w:val="Header Char"/>
    <w:link w:val="Header"/>
    <w:uiPriority w:val="99"/>
    <w:locked/>
    <w:rPr>
      <w:rFonts w:cs="Times New Roman"/>
    </w:rPr>
  </w:style>
  <w:style w:type="paragraph" w:styleId="Footer">
    <w:name w:val="footer"/>
    <w:basedOn w:val="Normal"/>
    <w:link w:val="FooterChar"/>
    <w:uiPriority w:val="99"/>
    <w:pPr>
      <w:tabs>
        <w:tab w:val="center" w:pos="4536"/>
        <w:tab w:val="right" w:pos="9072"/>
      </w:tabs>
      <w:spacing w:after="0" w:line="240" w:lineRule="auto"/>
    </w:pPr>
  </w:style>
  <w:style w:type="character" w:customStyle="1" w:styleId="FooterChar">
    <w:name w:val="Footer Char"/>
    <w:link w:val="Footer"/>
    <w:uiPriority w:val="99"/>
    <w:locked/>
    <w:rPr>
      <w:rFonts w:cs="Times New Roman"/>
    </w:rPr>
  </w:style>
  <w:style w:type="character" w:styleId="Hyperlink">
    <w:name w:val="Hyperlink"/>
    <w:uiPriority w:val="99"/>
    <w:rPr>
      <w:rFonts w:ascii="Arial" w:hAnsi="Arial" w:cs="Times New Roman"/>
      <w:color w:val="003399"/>
      <w:sz w:val="17"/>
      <w:u w:val="none"/>
    </w:rPr>
  </w:style>
  <w:style w:type="paragraph" w:customStyle="1" w:styleId="newsSubTitle">
    <w:name w:val="newsSubTitle"/>
    <w:basedOn w:val="Normal"/>
    <w:autoRedefine/>
    <w:uiPriority w:val="99"/>
    <w:pPr>
      <w:spacing w:after="300" w:line="300" w:lineRule="exact"/>
      <w:jc w:val="both"/>
    </w:pPr>
    <w:rPr>
      <w:rFonts w:ascii="Arial" w:hAnsi="Arial"/>
      <w:b/>
    </w:rPr>
  </w:style>
  <w:style w:type="paragraph" w:customStyle="1" w:styleId="newsContent">
    <w:name w:val="newsContent"/>
    <w:basedOn w:val="Normal"/>
    <w:autoRedefine/>
    <w:uiPriority w:val="99"/>
    <w:rsid w:val="00CF00C2"/>
    <w:pPr>
      <w:spacing w:after="260" w:line="260" w:lineRule="exact"/>
    </w:pPr>
    <w:rPr>
      <w:rFonts w:ascii="Arial" w:hAnsi="Arial" w:cs="Arial"/>
      <w:color w:val="000000"/>
      <w:sz w:val="20"/>
      <w:szCs w:val="20"/>
    </w:rPr>
  </w:style>
  <w:style w:type="paragraph" w:customStyle="1" w:styleId="newsAddress">
    <w:name w:val="newsAddress"/>
    <w:basedOn w:val="Footer"/>
    <w:autoRedefine/>
    <w:uiPriority w:val="99"/>
    <w:pPr>
      <w:framePr w:wrap="around" w:vAnchor="text" w:hAnchor="page" w:x="852" w:y="1"/>
      <w:tabs>
        <w:tab w:val="clear" w:pos="9072"/>
        <w:tab w:val="right" w:pos="7371"/>
      </w:tabs>
      <w:spacing w:line="200" w:lineRule="exact"/>
    </w:pPr>
    <w:rPr>
      <w:rFonts w:ascii="Arial" w:hAnsi="Arial"/>
      <w:sz w:val="14"/>
    </w:rPr>
  </w:style>
  <w:style w:type="paragraph" w:customStyle="1" w:styleId="newsReference">
    <w:name w:val="newsReference"/>
    <w:basedOn w:val="Normal"/>
    <w:autoRedefine/>
    <w:uiPriority w:val="99"/>
    <w:pPr>
      <w:spacing w:after="0" w:line="200" w:lineRule="exact"/>
      <w:ind w:left="1819" w:hanging="425"/>
    </w:pPr>
    <w:rPr>
      <w:rFonts w:ascii="Arial" w:hAnsi="Arial"/>
      <w:sz w:val="14"/>
    </w:rPr>
  </w:style>
  <w:style w:type="paragraph" w:customStyle="1" w:styleId="newsRef">
    <w:name w:val="newsRef"/>
    <w:basedOn w:val="newsAddress"/>
    <w:autoRedefine/>
    <w:uiPriority w:val="99"/>
    <w:pPr>
      <w:framePr w:wrap="around"/>
      <w:tabs>
        <w:tab w:val="clear" w:pos="4536"/>
        <w:tab w:val="right" w:pos="6946"/>
        <w:tab w:val="left" w:pos="8505"/>
      </w:tabs>
      <w:ind w:right="-569"/>
    </w:pPr>
  </w:style>
  <w:style w:type="character" w:styleId="PlaceholderText">
    <w:name w:val="Placeholder Text"/>
    <w:uiPriority w:val="99"/>
    <w:semiHidden/>
    <w:rPr>
      <w:rFonts w:cs="Times New Roman"/>
      <w:color w:val="808080"/>
    </w:rPr>
  </w:style>
  <w:style w:type="paragraph" w:customStyle="1" w:styleId="newsCoordinates">
    <w:name w:val="newsCoordinates"/>
    <w:basedOn w:val="Footer"/>
    <w:autoRedefine/>
    <w:qFormat/>
    <w:pPr>
      <w:tabs>
        <w:tab w:val="clear" w:pos="9072"/>
        <w:tab w:val="right" w:pos="8222"/>
      </w:tabs>
      <w:spacing w:line="200" w:lineRule="exact"/>
      <w:ind w:left="84"/>
    </w:pPr>
    <w:rPr>
      <w:rFonts w:ascii="Arial" w:hAnsi="Arial"/>
      <w:sz w:val="14"/>
    </w:rPr>
  </w:style>
  <w:style w:type="paragraph" w:customStyle="1" w:styleId="newsEmbargo">
    <w:name w:val="newsEmbargo"/>
    <w:basedOn w:val="newsCoordinates"/>
    <w:autoRedefine/>
    <w:uiPriority w:val="99"/>
    <w:rPr>
      <w:color w:val="000000"/>
      <w:sz w:val="15"/>
    </w:rPr>
  </w:style>
  <w:style w:type="paragraph" w:customStyle="1" w:styleId="newsDate">
    <w:name w:val="newsDate"/>
    <w:basedOn w:val="newsEmbargo"/>
    <w:autoRedefine/>
    <w:uiPriority w:val="99"/>
    <w:pPr>
      <w:jc w:val="center"/>
    </w:pPr>
  </w:style>
  <w:style w:type="paragraph" w:customStyle="1" w:styleId="newsNotes">
    <w:name w:val="newsNotes"/>
    <w:basedOn w:val="newsContent"/>
    <w:autoRedefine/>
    <w:uiPriority w:val="99"/>
    <w:pPr>
      <w:spacing w:line="220" w:lineRule="exact"/>
    </w:pPr>
    <w:rPr>
      <w:color w:val="auto"/>
      <w:sz w:val="17"/>
    </w:rPr>
  </w:style>
  <w:style w:type="table" w:styleId="TableGrid">
    <w:name w:val="Table Grid"/>
    <w:basedOn w:val="TableNormal"/>
    <w:uiPriority w:val="99"/>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box">
    <w:name w:val="Textbox"/>
    <w:uiPriority w:val="99"/>
    <w:rPr>
      <w:color w:val="0000FF"/>
      <w:sz w:val="24"/>
      <w:lang w:val="en-US" w:eastAsia="sv-SE"/>
    </w:rPr>
  </w:style>
  <w:style w:type="paragraph" w:customStyle="1" w:styleId="newsNotesNumber">
    <w:name w:val="newsNotesNumber"/>
    <w:basedOn w:val="newsNotes"/>
    <w:next w:val="Normal"/>
    <w:autoRedefine/>
    <w:uiPriority w:val="99"/>
    <w:rPr>
      <w:vertAlign w:val="superscript"/>
    </w:rPr>
  </w:style>
  <w:style w:type="character" w:customStyle="1" w:styleId="newsContentChar">
    <w:name w:val="newsContent Char"/>
    <w:uiPriority w:val="99"/>
    <w:locked/>
    <w:rPr>
      <w:rFonts w:ascii="Arial" w:hAnsi="Arial" w:cs="Arial"/>
      <w:color w:val="000000"/>
      <w:sz w:val="20"/>
      <w:szCs w:val="20"/>
    </w:rPr>
  </w:style>
  <w:style w:type="character" w:customStyle="1" w:styleId="newsNotesChar">
    <w:name w:val="newsNotes Char"/>
    <w:uiPriority w:val="99"/>
    <w:locked/>
    <w:rPr>
      <w:rFonts w:ascii="Arial" w:hAnsi="Arial" w:cs="Arial"/>
      <w:color w:val="000000"/>
      <w:sz w:val="20"/>
      <w:szCs w:val="20"/>
    </w:rPr>
  </w:style>
  <w:style w:type="character" w:customStyle="1" w:styleId="newsNotesNumberChar">
    <w:name w:val="newsNotesNumber Char"/>
    <w:uiPriority w:val="99"/>
    <w:locked/>
    <w:rPr>
      <w:rFonts w:ascii="Arial" w:hAnsi="Arial" w:cs="Arial"/>
      <w:color w:val="000000"/>
      <w:sz w:val="20"/>
      <w:szCs w:val="20"/>
      <w:vertAlign w:val="superscript"/>
    </w:rPr>
  </w:style>
  <w:style w:type="paragraph" w:styleId="ListParagraph">
    <w:name w:val="List Paragraph"/>
    <w:basedOn w:val="Normal"/>
    <w:uiPriority w:val="99"/>
    <w:qFormat/>
    <w:pPr>
      <w:ind w:left="720"/>
      <w:contextualSpacing/>
    </w:pPr>
  </w:style>
  <w:style w:type="paragraph" w:styleId="Title">
    <w:name w:val="Title"/>
    <w:basedOn w:val="Normal"/>
    <w:next w:val="Normal"/>
    <w:link w:val="TitleChar"/>
    <w:uiPriority w:val="99"/>
    <w:qFormat/>
    <w:pPr>
      <w:pBdr>
        <w:bottom w:val="single" w:sz="4" w:space="1" w:color="auto"/>
      </w:pBdr>
      <w:spacing w:line="240" w:lineRule="auto"/>
      <w:contextualSpacing/>
    </w:pPr>
    <w:rPr>
      <w:rFonts w:ascii="Times New Roman" w:hAnsi="Times New Roman"/>
      <w:spacing w:val="5"/>
      <w:sz w:val="52"/>
      <w:szCs w:val="52"/>
    </w:rPr>
  </w:style>
  <w:style w:type="character" w:customStyle="1" w:styleId="TitleChar">
    <w:name w:val="Title Char"/>
    <w:link w:val="Title"/>
    <w:uiPriority w:val="99"/>
    <w:locked/>
    <w:rPr>
      <w:rFonts w:ascii="Times New Roman" w:hAnsi="Times New Roman" w:cs="Times New Roman"/>
      <w:spacing w:val="5"/>
      <w:sz w:val="52"/>
      <w:szCs w:val="52"/>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link w:val="CommentText"/>
    <w:uiPriority w:val="99"/>
    <w:locked/>
    <w:rPr>
      <w:rFonts w:cs="Times New Roman"/>
      <w:sz w:val="20"/>
      <w:szCs w:val="20"/>
    </w:rPr>
  </w:style>
  <w:style w:type="character" w:styleId="CommentReference">
    <w:name w:val="annotation reference"/>
    <w:uiPriority w:val="99"/>
    <w:semiHidden/>
    <w:rPr>
      <w:rFonts w:cs="Times New Roman"/>
      <w:sz w:val="16"/>
      <w:szCs w:val="16"/>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cs="Times New Roman"/>
      <w:b/>
      <w:bCs/>
      <w:sz w:val="20"/>
      <w:szCs w:val="20"/>
    </w:rPr>
  </w:style>
  <w:style w:type="paragraph" w:customStyle="1" w:styleId="newscontent0">
    <w:name w:val="newscontent"/>
    <w:basedOn w:val="Normal"/>
    <w:uiPriority w:val="99"/>
    <w:pPr>
      <w:spacing w:before="100" w:beforeAutospacing="1" w:after="100" w:afterAutospacing="1" w:line="240" w:lineRule="auto"/>
    </w:pPr>
    <w:rPr>
      <w:rFonts w:ascii="Times New Roman" w:hAnsi="Times New Roman"/>
      <w:sz w:val="24"/>
      <w:szCs w:val="24"/>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tw4winInternal">
    <w:name w:val="tw4winInternal"/>
    <w:uiPriority w:val="99"/>
    <w:rPr>
      <w:rFonts w:ascii="Courier New" w:hAnsi="Courier New"/>
      <w:noProof/>
      <w:color w:val="FF0000"/>
    </w:rPr>
  </w:style>
  <w:style w:type="character" w:customStyle="1" w:styleId="DONOTTRANSLATE">
    <w:name w:val="DO_NOT_TRANSLATE"/>
    <w:uiPriority w:val="99"/>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0736410">
      <w:marLeft w:val="0"/>
      <w:marRight w:val="0"/>
      <w:marTop w:val="0"/>
      <w:marBottom w:val="0"/>
      <w:divBdr>
        <w:top w:val="none" w:sz="0" w:space="0" w:color="auto"/>
        <w:left w:val="none" w:sz="0" w:space="0" w:color="auto"/>
        <w:bottom w:val="none" w:sz="0" w:space="0" w:color="auto"/>
        <w:right w:val="none" w:sz="0" w:space="0" w:color="auto"/>
      </w:divBdr>
    </w:div>
    <w:div w:id="1360736411">
      <w:marLeft w:val="0"/>
      <w:marRight w:val="0"/>
      <w:marTop w:val="0"/>
      <w:marBottom w:val="0"/>
      <w:divBdr>
        <w:top w:val="none" w:sz="0" w:space="0" w:color="auto"/>
        <w:left w:val="none" w:sz="0" w:space="0" w:color="auto"/>
        <w:bottom w:val="none" w:sz="0" w:space="0" w:color="auto"/>
        <w:right w:val="none" w:sz="0" w:space="0" w:color="auto"/>
      </w:divBdr>
    </w:div>
    <w:div w:id="1360736412">
      <w:marLeft w:val="0"/>
      <w:marRight w:val="0"/>
      <w:marTop w:val="0"/>
      <w:marBottom w:val="0"/>
      <w:divBdr>
        <w:top w:val="none" w:sz="0" w:space="0" w:color="auto"/>
        <w:left w:val="none" w:sz="0" w:space="0" w:color="auto"/>
        <w:bottom w:val="none" w:sz="0" w:space="0" w:color="auto"/>
        <w:right w:val="none" w:sz="0" w:space="0" w:color="auto"/>
      </w:divBdr>
    </w:div>
    <w:div w:id="13607364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1302</Words>
  <Characters>7427</Characters>
  <Application>Microsoft Office Word</Application>
  <DocSecurity>0</DocSecurity>
  <Lines>61</Lines>
  <Paragraphs>17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Manager/>
  <Company/>
  <LinksUpToDate>false</LinksUpToDate>
  <CharactersWithSpaces>8712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2014-05-13T14:23:00Z</dcterms:created>
  <dcterms:modified xsi:type="dcterms:W3CDTF">2014-05-22T09:39:00Z</dcterms:modified>
  <cp:category/>
</cp:coreProperties>
</file>